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23" w:rsidRDefault="00052923" w:rsidP="004916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52923" w:rsidRDefault="00052923" w:rsidP="004916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2923" w:rsidRDefault="00052923" w:rsidP="004916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ДИНАМОВСКОГО СЕЛЬСКОГО ПОСЕЛЕНИЯ</w:t>
      </w:r>
    </w:p>
    <w:p w:rsidR="00052923" w:rsidRDefault="00052923" w:rsidP="004916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052923" w:rsidRDefault="00052923" w:rsidP="00491643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052923" w:rsidRDefault="00052923" w:rsidP="00491643">
      <w:pPr>
        <w:tabs>
          <w:tab w:val="left" w:pos="58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п. Динамо ул. Шпунта дом 1</w:t>
      </w:r>
      <w:r>
        <w:rPr>
          <w:sz w:val="20"/>
          <w:szCs w:val="20"/>
        </w:rPr>
        <w:tab/>
        <w:t xml:space="preserve">                          тел. 5-53-16,факс 5-53-47</w:t>
      </w:r>
    </w:p>
    <w:p w:rsidR="00052923" w:rsidRPr="00C943C3" w:rsidRDefault="00052923" w:rsidP="00491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2923" w:rsidRPr="00C943C3" w:rsidRDefault="00052923" w:rsidP="004916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52923" w:rsidRPr="00C943C3" w:rsidRDefault="00052923" w:rsidP="004916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C943C3">
        <w:rPr>
          <w:rFonts w:ascii="Times New Roman" w:hAnsi="Times New Roman"/>
          <w:b/>
          <w:sz w:val="24"/>
          <w:szCs w:val="24"/>
          <w:lang w:eastAsia="ru-RU"/>
        </w:rPr>
        <w:t xml:space="preserve">П О С Т А Н О В Л Е Н И Е </w:t>
      </w:r>
    </w:p>
    <w:p w:rsidR="00052923" w:rsidRPr="00C943C3" w:rsidRDefault="00052923" w:rsidP="004916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52923" w:rsidRPr="00125C3A" w:rsidRDefault="00052923" w:rsidP="004916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14.03.2019 </w:t>
      </w:r>
      <w:r w:rsidRPr="00125C3A">
        <w:rPr>
          <w:rFonts w:ascii="Times New Roman" w:hAnsi="Times New Roman"/>
          <w:sz w:val="28"/>
          <w:szCs w:val="28"/>
          <w:lang w:eastAsia="ru-RU"/>
        </w:rPr>
        <w:t xml:space="preserve"> г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</w:p>
    <w:p w:rsidR="00052923" w:rsidRPr="00C943C3" w:rsidRDefault="00052923" w:rsidP="004916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 и дополнений </w:t>
      </w: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постановление № 63 от 07.12.2018 г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25C3A">
        <w:rPr>
          <w:rFonts w:ascii="Times New Roman" w:hAnsi="Times New Roman"/>
          <w:sz w:val="28"/>
          <w:szCs w:val="28"/>
          <w:lang w:eastAsia="ru-RU"/>
        </w:rPr>
        <w:t>Об утверждении Программы комплексного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 xml:space="preserve">развития социальной инфраструктуры 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>Динамовского сельского поселения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>Нехаевского муниципального района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5C3A">
        <w:rPr>
          <w:rFonts w:ascii="Times New Roman" w:hAnsi="Times New Roman"/>
          <w:sz w:val="28"/>
          <w:szCs w:val="28"/>
          <w:lang w:eastAsia="ru-RU"/>
        </w:rPr>
        <w:t>области на 2018-2030 годы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 постановления администрации Динамовского сельского поселения от 07.12.2018 г  № 63 «</w:t>
      </w:r>
      <w:r w:rsidRPr="00125C3A">
        <w:rPr>
          <w:rFonts w:ascii="Times New Roman" w:hAnsi="Times New Roman"/>
          <w:sz w:val="28"/>
          <w:szCs w:val="28"/>
          <w:lang w:eastAsia="ru-RU"/>
        </w:rPr>
        <w:t>Об утверждении Программы комплексного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>разв</w:t>
      </w:r>
      <w:r>
        <w:rPr>
          <w:rFonts w:ascii="Times New Roman" w:hAnsi="Times New Roman"/>
          <w:sz w:val="28"/>
          <w:szCs w:val="28"/>
          <w:lang w:eastAsia="ru-RU"/>
        </w:rPr>
        <w:t xml:space="preserve">ития социальной инфраструктуры </w:t>
      </w:r>
      <w:r w:rsidRPr="00125C3A">
        <w:rPr>
          <w:rFonts w:ascii="Times New Roman" w:hAnsi="Times New Roman"/>
          <w:sz w:val="28"/>
          <w:szCs w:val="28"/>
          <w:lang w:eastAsia="ru-RU"/>
        </w:rPr>
        <w:t>Динамовского сельского поселения</w:t>
      </w: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25C3A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хаевского муниципального района </w:t>
      </w:r>
      <w:r w:rsidRPr="00125C3A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5C3A">
        <w:rPr>
          <w:rFonts w:ascii="Times New Roman" w:hAnsi="Times New Roman"/>
          <w:sz w:val="28"/>
          <w:szCs w:val="28"/>
          <w:lang w:eastAsia="ru-RU"/>
        </w:rPr>
        <w:t>области на 2018-2030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9B6A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 название программы словом «Муниципальная», изложить в следующей редакции: « Муниципальная программа комплексного развития  социальной инфраструктуры Динамовского сельского поселения  Нехаевского муниципального района Волгоградской области на 2018-2030 годы»  </w:t>
      </w:r>
    </w:p>
    <w:p w:rsidR="00052923" w:rsidRDefault="00052923" w:rsidP="009B6A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1 Паспорта муниципальной программы в разделе «Объемы и источники финансирования программы» слова «500тыс.рублей»  ЗАМЕНИТЬ словами «594 тыс. рублей»</w:t>
      </w:r>
    </w:p>
    <w:p w:rsidR="00052923" w:rsidRDefault="00052923" w:rsidP="009B6A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 «Цели и задачи программы» в разделе «Задачи» дополнить словами: «</w:t>
      </w:r>
      <w:r w:rsidRPr="009B6A57">
        <w:rPr>
          <w:rFonts w:ascii="Times New Roman" w:hAnsi="Times New Roman"/>
          <w:sz w:val="24"/>
          <w:szCs w:val="24"/>
          <w:lang w:eastAsia="ru-RU"/>
        </w:rPr>
        <w:t>О</w:t>
      </w:r>
      <w:r w:rsidRPr="009B6A57">
        <w:rPr>
          <w:rFonts w:ascii="Times New Roman" w:hAnsi="Times New Roman"/>
          <w:color w:val="000000"/>
          <w:sz w:val="28"/>
          <w:szCs w:val="28"/>
          <w:lang w:eastAsia="ru-RU"/>
        </w:rPr>
        <w:t>беспечение развития и укрепления материально-технической базы муниципальных домов культуры, расположенных в населенных пунктах с числом жителей  до 50 тысяч человек.»</w:t>
      </w:r>
    </w:p>
    <w:p w:rsidR="00052923" w:rsidRPr="00093D0F" w:rsidRDefault="00052923" w:rsidP="009B6A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2  абзац 4 дополнить словами: </w:t>
      </w:r>
      <w:r w:rsidRPr="00093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3D0F">
        <w:rPr>
          <w:rFonts w:ascii="Times New Roman" w:hAnsi="Times New Roman"/>
          <w:sz w:val="28"/>
          <w:szCs w:val="28"/>
          <w:lang w:eastAsia="ru-RU"/>
        </w:rPr>
        <w:t xml:space="preserve">«Обеспечение развития и укрепления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0F">
        <w:rPr>
          <w:rFonts w:ascii="Times New Roman" w:hAnsi="Times New Roman"/>
          <w:sz w:val="28"/>
          <w:szCs w:val="28"/>
          <w:lang w:eastAsia="ru-RU"/>
        </w:rPr>
        <w:t xml:space="preserve">материально- тезнической базы Муниципального казенного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93D0F">
        <w:rPr>
          <w:rFonts w:ascii="Times New Roman" w:hAnsi="Times New Roman"/>
          <w:sz w:val="28"/>
          <w:szCs w:val="28"/>
          <w:lang w:eastAsia="ru-RU"/>
        </w:rPr>
        <w:t>культуры «Динамовский» центр культуры и благоустройства»</w:t>
      </w:r>
      <w:r w:rsidRPr="00093D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2923" w:rsidRPr="00093D0F" w:rsidRDefault="00052923" w:rsidP="009B6A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D0F">
        <w:rPr>
          <w:rFonts w:ascii="Times New Roman" w:hAnsi="Times New Roman"/>
          <w:sz w:val="28"/>
          <w:szCs w:val="28"/>
          <w:lang w:eastAsia="ru-RU"/>
        </w:rPr>
        <w:t>Раздел 3  абзац 2 заменить слова «500 тыс. рублей» заменить словами «594 тыс. рублей»</w:t>
      </w:r>
    </w:p>
    <w:p w:rsidR="00052923" w:rsidRDefault="00052923" w:rsidP="009B6A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Таблицу дополнить  наименованием мероприятия: </w:t>
      </w:r>
      <w:r w:rsidRPr="00093D0F">
        <w:rPr>
          <w:rFonts w:ascii="Times New Roman" w:hAnsi="Times New Roman"/>
          <w:sz w:val="28"/>
          <w:szCs w:val="28"/>
          <w:lang w:eastAsia="ru-RU"/>
        </w:rPr>
        <w:t xml:space="preserve">«Обеспечение развития и укрепления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0F">
        <w:rPr>
          <w:rFonts w:ascii="Times New Roman" w:hAnsi="Times New Roman"/>
          <w:sz w:val="28"/>
          <w:szCs w:val="28"/>
          <w:lang w:eastAsia="ru-RU"/>
        </w:rPr>
        <w:t xml:space="preserve">материально- тезнической базы Муниципального казенного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93D0F">
        <w:rPr>
          <w:rFonts w:ascii="Times New Roman" w:hAnsi="Times New Roman"/>
          <w:sz w:val="28"/>
          <w:szCs w:val="28"/>
          <w:lang w:eastAsia="ru-RU"/>
        </w:rPr>
        <w:t>культуры «Динамовский» центр культуры и благоустройства»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, с источником финансирования «бюджет поселения » в размере 94 тыс. рублей</w:t>
      </w:r>
    </w:p>
    <w:p w:rsidR="00052923" w:rsidRPr="00125C3A" w:rsidRDefault="00052923" w:rsidP="009B6A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Раздел 5 абзац 2 дополнить словами «</w:t>
      </w:r>
      <w:r w:rsidRPr="00093D0F">
        <w:rPr>
          <w:rFonts w:ascii="Times New Roman" w:hAnsi="Times New Roman"/>
          <w:sz w:val="28"/>
          <w:szCs w:val="28"/>
          <w:lang w:eastAsia="ru-RU"/>
        </w:rPr>
        <w:t xml:space="preserve">«Обеспечение развития и укрепления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0F">
        <w:rPr>
          <w:rFonts w:ascii="Times New Roman" w:hAnsi="Times New Roman"/>
          <w:sz w:val="28"/>
          <w:szCs w:val="28"/>
          <w:lang w:eastAsia="ru-RU"/>
        </w:rPr>
        <w:t xml:space="preserve">материально- тезнической базы Муниципального казенного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93D0F">
        <w:rPr>
          <w:rFonts w:ascii="Times New Roman" w:hAnsi="Times New Roman"/>
          <w:sz w:val="28"/>
          <w:szCs w:val="28"/>
          <w:lang w:eastAsia="ru-RU"/>
        </w:rPr>
        <w:t>культуры «Динамовский» центр культуры и благоустройства»</w:t>
      </w:r>
    </w:p>
    <w:p w:rsidR="00052923" w:rsidRPr="00125C3A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Динамовского</w:t>
      </w:r>
    </w:p>
    <w:p w:rsidR="00052923" w:rsidRDefault="00052923" w:rsidP="009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Н В Волкова</w:t>
      </w:r>
    </w:p>
    <w:p w:rsidR="00052923" w:rsidRPr="00125C3A" w:rsidRDefault="00052923" w:rsidP="004916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2923" w:rsidRPr="00125C3A" w:rsidRDefault="00052923" w:rsidP="004916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Муниципальная  </w:t>
      </w: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Программа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комплексного развития социальной инфраструктуры Динамовского сельского поселения Нехаевского муниципального  района Волгоградской области на 2018- 2030 годы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Паспорт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 комплексного развития социальной инфраструктуры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Динамовского сельского поселения Нехаевского района Волгоградской области 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2018- 2030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0"/>
        <w:gridCol w:w="7530"/>
      </w:tblGrid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Муниципальная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комплексного развития социальной инфраструктуры Динамовского сельского поселения Нехаевского района Волгоградской области на 2018- 2030 годы (далее - Программа)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color w:val="106BBE"/>
                  <w:sz w:val="24"/>
                  <w:szCs w:val="24"/>
                  <w:lang w:eastAsia="ru-RU"/>
                </w:rPr>
                <w:t>Градостроительный кодекс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от 29 декабря 2004 года N 190-ФЗ;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29 декабря 2014 года N 456-ФЗ "О внесении изменений в </w:t>
            </w:r>
            <w:hyperlink r:id="rId9" w:history="1">
              <w:r>
                <w:rPr>
                  <w:rStyle w:val="Hyperlink"/>
                  <w:rFonts w:ascii="Times New Roman" w:hAnsi="Times New Roman"/>
                  <w:color w:val="106BBE"/>
                  <w:sz w:val="24"/>
                  <w:szCs w:val="24"/>
                  <w:lang w:eastAsia="ru-RU"/>
                </w:rPr>
                <w:t>Градостроительный кодекс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и отдельные законодательные акты Российской Федерации";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color w:val="106BBE"/>
                  <w:sz w:val="24"/>
                  <w:szCs w:val="24"/>
                  <w:lang w:eastAsia="ru-RU"/>
                </w:rPr>
                <w:t>постановление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 октября 2015 года N 1050 "Об утверждении требований к программам комплексного развития социальной инфраструктуры поселений, городских округов"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программы, его местонахождение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Динамовского сельского поселения Нехаевского района Волгоградской области: 403181, Волгоградская область, Нехаевский район, пос.Динамо ул. Шпунта, д.1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разработчик программы, его местонахождение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Динамовского сельского поселения Нехаевского района Волгоградской области: 403181, Волгоградская область, Нехаевский район, пос.Динамо ул.Шпунта, д.1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Обеспечение развития социальной инфраструктуры Динамовского сельского поселения для закрепления населения, повышения уровня его жизни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привлечение широких масс населения к занятиям спортом и культивирование здорового образа жизни за счет строительства спортивных сооружений; - улучшение условий проживания населения за счет строительства, реконструкции и ремонта объектов транспортной инфраструктуры,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жилого фонда, жилищно-коммунального хозяйства, мест массового отдыха и рекреации; 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Динамовском  сельском поселении.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92D050"/>
                <w:sz w:val="24"/>
                <w:szCs w:val="24"/>
                <w:lang w:eastAsia="ru-RU"/>
              </w:rPr>
              <w:t>- обеспечение развития и укрепления материально-технической базы муниципальных домов культуры, расположенных в населенных пунктах с числом жителей  до 50 тысяч человек.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 - улучшение качества услуг, предоставляемых учреждениями культуры Динамовского сельского поселения;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создание условий для занятий спортом; - создание условий для бесперебойной работы централизованной системы водоснабжения, газоснабжения;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развитие транспортной инфраструктуры.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 Проектирование и строительство спортивных площадок для физкультурных занятий и тренировок и уличных тренажеров, детской площадки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 Ямочный ремонт и ремонт автомобильных дорог местного значения;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Озеленение поселения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 Программы 2018-2030 годы, в 2 этапа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этап - с 2019 по 2020 годы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этап - с 2020 по 2030 годы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Прогнозный общий объем финансирования Муниципальной  Программы на период 2019-2020годов составляет 3млн594 тыс. руб., в том числе по годам: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 – 3млн. рублей;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2019 -2030 – 5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94 тыс.рублей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входящих в Муниципальную Программу мероприятий осуществляется за счет средств Федерального бюджета, бюджета Волгоградской области, бюджета Динамовского сельского поселения Нехаевского муниципального района.</w:t>
            </w:r>
          </w:p>
        </w:tc>
      </w:tr>
      <w:tr w:rsidR="00052923" w:rsidTr="003E2D00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 качества жизни, закрепление населения квалифицированными трудовыми ресурсами.</w:t>
            </w:r>
          </w:p>
        </w:tc>
      </w:tr>
    </w:tbl>
    <w:p w:rsidR="00052923" w:rsidRDefault="00052923" w:rsidP="003E2D0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Раздел 1. Характеристика существующего состояния социальной инфраструктуры</w:t>
      </w:r>
    </w:p>
    <w:p w:rsidR="00052923" w:rsidRDefault="00052923" w:rsidP="003E2D0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052923" w:rsidRDefault="00052923" w:rsidP="003E2D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Динамовское  сельское поселение административно расположено в Нехаевском районе Волгоградской области, которое находится на расстоянии </w:t>
      </w:r>
      <w:smartTag w:uri="urn:schemas-microsoft-com:office:smarttags" w:element="metricconverter">
        <w:smartTagPr>
          <w:attr w:name="ProductID" w:val="25 километров"/>
        </w:smartTagPr>
        <w:r>
          <w:rPr>
            <w:rFonts w:ascii="Times New Roman" w:hAnsi="Times New Roman"/>
            <w:sz w:val="24"/>
            <w:szCs w:val="24"/>
          </w:rPr>
          <w:t>25 километров</w:t>
        </w:r>
      </w:smartTag>
      <w:r>
        <w:rPr>
          <w:rFonts w:ascii="Times New Roman" w:hAnsi="Times New Roman"/>
          <w:sz w:val="24"/>
          <w:szCs w:val="24"/>
        </w:rPr>
        <w:t xml:space="preserve"> от районного центра станица Нехаевская  и на расстоянии </w:t>
      </w:r>
      <w:smartTag w:uri="urn:schemas-microsoft-com:office:smarttags" w:element="metricconverter">
        <w:smartTagPr>
          <w:attr w:name="ProductID" w:val="364 километра"/>
        </w:smartTagPr>
        <w:r>
          <w:rPr>
            <w:rFonts w:ascii="Times New Roman" w:hAnsi="Times New Roman"/>
            <w:sz w:val="24"/>
            <w:szCs w:val="24"/>
          </w:rPr>
          <w:t>364 километра</w:t>
        </w:r>
      </w:smartTag>
      <w:r>
        <w:rPr>
          <w:rFonts w:ascii="Times New Roman" w:hAnsi="Times New Roman"/>
          <w:sz w:val="24"/>
          <w:szCs w:val="24"/>
        </w:rPr>
        <w:t xml:space="preserve"> от областного центра городского округа города-героя Волгоград.</w:t>
      </w:r>
    </w:p>
    <w:p w:rsidR="00052923" w:rsidRDefault="00052923" w:rsidP="003E2D00">
      <w:pPr>
        <w:spacing w:after="0" w:line="288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Динамовское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граничит с Верхнедонским муниципальным районом Ростовской области, а также с Солонским, Кругловским, Родничковским, Упорниковским, Нехаевским, Верхнереченским сельским поселениями, Нехаевского муниципального района Волгоградской области.</w:t>
      </w:r>
    </w:p>
    <w:p w:rsidR="00052923" w:rsidRDefault="00052923" w:rsidP="003E2D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Численность населения на 01 января 2018 года составляет 995 человек.</w:t>
      </w:r>
    </w:p>
    <w:p w:rsidR="00052923" w:rsidRDefault="00052923" w:rsidP="003E2D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Общая площадь земель муниципального образования  - </w:t>
      </w:r>
      <w:smartTag w:uri="urn:schemas-microsoft-com:office:smarttags" w:element="metricconverter">
        <w:smartTagPr>
          <w:attr w:name="ProductID" w:val="19730 га"/>
        </w:smartTagPr>
        <w:r>
          <w:rPr>
            <w:rFonts w:ascii="Times New Roman" w:hAnsi="Times New Roman"/>
            <w:sz w:val="24"/>
            <w:szCs w:val="24"/>
          </w:rPr>
          <w:t>19730 га</w:t>
        </w:r>
      </w:smartTag>
    </w:p>
    <w:p w:rsidR="00052923" w:rsidRDefault="00052923" w:rsidP="003E2D00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Поселок Динамо находится в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color w:val="000000"/>
            <w:sz w:val="24"/>
            <w:szCs w:val="24"/>
          </w:rPr>
          <w:t>24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юго-восточней, от станицы Нехаевская   - центра муниципального района  в </w:t>
      </w:r>
      <w:smartTag w:uri="urn:schemas-microsoft-com:office:smarttags" w:element="metricconverter">
        <w:smartTagPr>
          <w:attr w:name="ProductID" w:val="364 км"/>
        </w:smartTagPr>
        <w:r>
          <w:rPr>
            <w:rFonts w:ascii="Times New Roman" w:hAnsi="Times New Roman"/>
            <w:color w:val="000000"/>
            <w:sz w:val="24"/>
            <w:szCs w:val="24"/>
          </w:rPr>
          <w:t>364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города героя Волгоград.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2923" w:rsidRDefault="00052923" w:rsidP="003E2D00">
      <w:pPr>
        <w:pStyle w:val="ListParagraph"/>
        <w:spacing w:after="0" w:line="288" w:lineRule="auto"/>
        <w:ind w:left="-284"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Имеются автомобильные дороги с твердым покрытием в направлении районного центра (22 км), в направлении федеральной автомобильной дороги М-4.</w:t>
      </w:r>
    </w:p>
    <w:p w:rsidR="00052923" w:rsidRDefault="00052923" w:rsidP="003E2D00">
      <w:pPr>
        <w:spacing w:after="0" w:line="288" w:lineRule="auto"/>
        <w:ind w:left="-284" w:firstLine="64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Одной из основных проблем автодорожной сети Динамовского</w:t>
      </w:r>
    </w:p>
    <w:p w:rsidR="00052923" w:rsidRDefault="00052923" w:rsidP="003E2D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является то, что большая часть автомобильных дорог общего пользования местного значения не соответствует техническим нормативам.</w:t>
      </w:r>
    </w:p>
    <w:p w:rsidR="00052923" w:rsidRDefault="00052923" w:rsidP="003E2D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</w:t>
      </w:r>
      <w:r>
        <w:rPr>
          <w:rFonts w:ascii="Times New Roman" w:hAnsi="Times New Roman"/>
          <w:color w:val="000000"/>
          <w:sz w:val="24"/>
          <w:szCs w:val="24"/>
        </w:rPr>
        <w:t>Динамовского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входят: поселок Динамо, Кузьминка, Мирный, административным центром является – поселок Динамо.</w:t>
      </w:r>
    </w:p>
    <w:p w:rsidR="00052923" w:rsidRDefault="00052923" w:rsidP="003E2D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Жилой фонд</w:t>
      </w:r>
    </w:p>
    <w:p w:rsidR="00052923" w:rsidRDefault="00052923" w:rsidP="003E2D00">
      <w:pPr>
        <w:spacing w:line="288" w:lineRule="auto"/>
        <w:ind w:lef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жилых домовладений составляет 445 домов, площадь жилого фонда Динамовского сельского  поселения составляет  - 26760  кв.м.</w:t>
      </w:r>
    </w:p>
    <w:p w:rsidR="00052923" w:rsidRDefault="00052923" w:rsidP="003E2D00">
      <w:pPr>
        <w:spacing w:line="288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жилищная обеспеченность Динамовского сельского поселения на 01.01.2018  составляет 18 кв. м/чел, исходя из обеспеченности муниципальным и государственным жильем. Сложившийся тип индивидуального жилого строительства ориентировочной площадью в 100 кв. м. в расчет не включается.</w:t>
      </w:r>
    </w:p>
    <w:p w:rsidR="00052923" w:rsidRDefault="00052923" w:rsidP="003E2D00">
      <w:pPr>
        <w:spacing w:line="288" w:lineRule="auto"/>
        <w:ind w:left="-284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2013-2018 гг. жилищное строительство в поселке осуществлялось  </w:t>
      </w:r>
      <w:r>
        <w:rPr>
          <w:rFonts w:ascii="Times New Roman" w:hAnsi="Times New Roman"/>
          <w:bCs/>
          <w:sz w:val="24"/>
          <w:szCs w:val="24"/>
        </w:rPr>
        <w:t xml:space="preserve"> за счет собственных и заемных средств</w:t>
      </w:r>
      <w:r>
        <w:rPr>
          <w:rFonts w:ascii="Times New Roman" w:hAnsi="Times New Roman"/>
          <w:sz w:val="24"/>
          <w:szCs w:val="24"/>
        </w:rPr>
        <w:t>. Средства бюджетов</w:t>
      </w:r>
      <w:r>
        <w:rPr>
          <w:rFonts w:ascii="Times New Roman" w:hAnsi="Times New Roman"/>
          <w:bCs/>
          <w:sz w:val="24"/>
          <w:szCs w:val="24"/>
        </w:rPr>
        <w:t xml:space="preserve"> Волгоградской области и  муниципального района в жилищное строительство не вкладывались.</w:t>
      </w:r>
    </w:p>
    <w:p w:rsidR="00052923" w:rsidRDefault="00052923" w:rsidP="003E2D0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Для нового жилищного строительства преимущественным типом застройки предлагается </w:t>
      </w:r>
      <w:r>
        <w:rPr>
          <w:rFonts w:ascii="Times New Roman" w:hAnsi="Times New Roman"/>
          <w:sz w:val="24"/>
          <w:szCs w:val="24"/>
        </w:rPr>
        <w:t>застройка индивидуальными жилыми домами (до 3 этажей включительно)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Жилищное строительство осуществляется</w:t>
      </w:r>
      <w:r>
        <w:rPr>
          <w:rFonts w:ascii="Times New Roman" w:hAnsi="Times New Roman"/>
          <w:bCs/>
          <w:sz w:val="24"/>
          <w:szCs w:val="24"/>
        </w:rPr>
        <w:t xml:space="preserve"> населением за свой счет, (включая заемные средства).</w:t>
      </w:r>
      <w:r>
        <w:rPr>
          <w:rFonts w:ascii="Times New Roman" w:hAnsi="Times New Roman"/>
          <w:sz w:val="24"/>
          <w:szCs w:val="24"/>
        </w:rPr>
        <w:t xml:space="preserve"> Новое жилищное строительство предполагается осуществить на свободных территориях в северо-восточном и северо-западном  направлениях за счет индивидуальной застройки.</w:t>
      </w:r>
    </w:p>
    <w:p w:rsidR="00052923" w:rsidRDefault="00052923" w:rsidP="003E2D00">
      <w:pPr>
        <w:suppressAutoHyphens/>
        <w:spacing w:line="288" w:lineRule="auto"/>
        <w:ind w:left="-284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укрупненных расчетов средняя площадь индивидуального малоэтажного жилого дома принималась в размере 100 кв. м общей площади. Для Волгоградской области </w:t>
      </w:r>
      <w:r>
        <w:rPr>
          <w:rFonts w:ascii="Times New Roman" w:hAnsi="Times New Roman"/>
          <w:sz w:val="24"/>
          <w:szCs w:val="24"/>
        </w:rPr>
        <w:t xml:space="preserve">норма для предварительного определения потребной селитебной территории с учетом принятого размера приусадебного участка составляет  0,15 га на 1 индивидуальный жилой дом. </w:t>
      </w:r>
    </w:p>
    <w:p w:rsidR="00052923" w:rsidRDefault="00052923" w:rsidP="003E2D00">
      <w:pPr>
        <w:spacing w:after="0" w:line="288" w:lineRule="auto"/>
        <w:ind w:left="568" w:right="-14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Природно-климатические условия</w:t>
      </w:r>
    </w:p>
    <w:p w:rsidR="00052923" w:rsidRDefault="00052923" w:rsidP="003E2D00">
      <w:pPr>
        <w:spacing w:line="288" w:lineRule="auto"/>
        <w:ind w:left="-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 Нехаевского муниципального района засушливый, с резко выраженной континентальностью. Характеризующаяся, четко выраженными сезонами года, резрезкими сменами температур воздуха.</w:t>
      </w:r>
    </w:p>
    <w:p w:rsidR="00052923" w:rsidRDefault="00052923" w:rsidP="003E2D00">
      <w:pPr>
        <w:spacing w:line="36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Лето, как правило, жаркое, а зима холодная и ветреная. Сильные ветры зимой преобладают восточные, а летом западные и северо-западные, также бывают «суховеи» - ветры юго-восточного направления, приносящие из Средней Азии потоки горячего и сухого воздуха. На территории Нехаевского района ежегодно в среднем бывает 15 дней с «суховеями». В этот период иссушается не только почва, но и создаются условия атмосферной засухи, трудно переносимые растениями.</w:t>
      </w:r>
    </w:p>
    <w:p w:rsidR="00052923" w:rsidRDefault="00052923" w:rsidP="003E2D00">
      <w:pPr>
        <w:spacing w:line="288" w:lineRule="auto"/>
        <w:ind w:left="-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Наиболее жаркие месяцы июль, август. Средне июльская температура  воздуха 23,5 градуса. Абсолютный максимум температур 40-43 градуса. </w:t>
      </w:r>
      <w:r>
        <w:rPr>
          <w:rFonts w:ascii="Times New Roman" w:hAnsi="Times New Roman"/>
          <w:bCs/>
          <w:sz w:val="24"/>
          <w:szCs w:val="24"/>
        </w:rPr>
        <w:t xml:space="preserve">Преобладающие направления ветра  северо-восточные и северо-западные максимальная скорость 8,5 м/сек, минимальная -4,6 м /сек. </w:t>
      </w:r>
    </w:p>
    <w:p w:rsidR="00052923" w:rsidRDefault="00052923" w:rsidP="003E2D00">
      <w:pPr>
        <w:spacing w:line="288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Климатическая характеристика района строительства согласно СНиП 2.01.01-2001 «Строительная климатология и геофизика»:</w:t>
      </w:r>
    </w:p>
    <w:p w:rsidR="00052923" w:rsidRDefault="00052923" w:rsidP="003E2D00">
      <w:pPr>
        <w:pStyle w:val="1"/>
        <w:numPr>
          <w:ilvl w:val="0"/>
          <w:numId w:val="7"/>
        </w:numPr>
        <w:tabs>
          <w:tab w:val="num" w:pos="1418"/>
        </w:tabs>
        <w:spacing w:before="0" w:after="0" w:line="288" w:lineRule="auto"/>
        <w:ind w:left="-284" w:firstLine="709"/>
        <w:textAlignment w:val="auto"/>
        <w:rPr>
          <w:szCs w:val="24"/>
        </w:rPr>
      </w:pPr>
      <w:r>
        <w:rPr>
          <w:szCs w:val="24"/>
        </w:rPr>
        <w:t xml:space="preserve">Климатическая зона - </w:t>
      </w:r>
      <w:r>
        <w:rPr>
          <w:szCs w:val="24"/>
          <w:lang w:val="en-US"/>
        </w:rPr>
        <w:t>III</w:t>
      </w:r>
      <w:r>
        <w:rPr>
          <w:szCs w:val="24"/>
        </w:rPr>
        <w:t>-в ;</w:t>
      </w:r>
    </w:p>
    <w:p w:rsidR="00052923" w:rsidRDefault="00052923" w:rsidP="003E2D00">
      <w:pPr>
        <w:pStyle w:val="1"/>
        <w:numPr>
          <w:ilvl w:val="0"/>
          <w:numId w:val="7"/>
        </w:numPr>
        <w:tabs>
          <w:tab w:val="num" w:pos="1418"/>
        </w:tabs>
        <w:spacing w:before="0" w:after="0" w:line="288" w:lineRule="auto"/>
        <w:ind w:left="-284" w:firstLine="709"/>
        <w:textAlignment w:val="auto"/>
        <w:rPr>
          <w:szCs w:val="24"/>
        </w:rPr>
      </w:pPr>
      <w:r>
        <w:rPr>
          <w:szCs w:val="24"/>
        </w:rPr>
        <w:t>Средняя температура наиболее холодных суток - -39</w:t>
      </w:r>
      <w:r>
        <w:rPr>
          <w:szCs w:val="24"/>
          <w:vertAlign w:val="superscript"/>
        </w:rPr>
        <w:t>0</w:t>
      </w:r>
      <w:r>
        <w:rPr>
          <w:szCs w:val="24"/>
        </w:rPr>
        <w:t>С;</w:t>
      </w:r>
    </w:p>
    <w:p w:rsidR="00052923" w:rsidRDefault="00052923" w:rsidP="003E2D00">
      <w:pPr>
        <w:pStyle w:val="1"/>
        <w:numPr>
          <w:ilvl w:val="0"/>
          <w:numId w:val="7"/>
        </w:numPr>
        <w:tabs>
          <w:tab w:val="num" w:pos="1418"/>
        </w:tabs>
        <w:spacing w:before="0" w:after="0" w:line="288" w:lineRule="auto"/>
        <w:ind w:left="-284" w:firstLine="709"/>
        <w:textAlignment w:val="auto"/>
        <w:rPr>
          <w:szCs w:val="24"/>
        </w:rPr>
      </w:pPr>
      <w:r>
        <w:rPr>
          <w:szCs w:val="24"/>
        </w:rPr>
        <w:t>Средняя температура наиболее холодной пятидневки - -15</w:t>
      </w:r>
      <w:r>
        <w:rPr>
          <w:szCs w:val="24"/>
          <w:vertAlign w:val="superscript"/>
        </w:rPr>
        <w:t>0</w:t>
      </w:r>
      <w:r>
        <w:rPr>
          <w:szCs w:val="24"/>
        </w:rPr>
        <w:t>С;</w:t>
      </w:r>
    </w:p>
    <w:p w:rsidR="00052923" w:rsidRDefault="00052923" w:rsidP="003E2D00">
      <w:pPr>
        <w:pStyle w:val="1"/>
        <w:numPr>
          <w:ilvl w:val="0"/>
          <w:numId w:val="7"/>
        </w:numPr>
        <w:tabs>
          <w:tab w:val="num" w:pos="1418"/>
        </w:tabs>
        <w:spacing w:before="0" w:after="0" w:line="288" w:lineRule="auto"/>
        <w:ind w:left="-284" w:firstLine="709"/>
        <w:textAlignment w:val="auto"/>
        <w:rPr>
          <w:szCs w:val="24"/>
        </w:rPr>
      </w:pPr>
      <w:r>
        <w:rPr>
          <w:szCs w:val="24"/>
        </w:rPr>
        <w:t>Нормативная толщина промерзания грунтов  – -1,2 м;</w:t>
      </w:r>
    </w:p>
    <w:p w:rsidR="00052923" w:rsidRDefault="00052923" w:rsidP="003E2D00">
      <w:pPr>
        <w:pStyle w:val="1"/>
        <w:numPr>
          <w:ilvl w:val="0"/>
          <w:numId w:val="7"/>
        </w:numPr>
        <w:tabs>
          <w:tab w:val="num" w:pos="1418"/>
        </w:tabs>
        <w:spacing w:before="0" w:after="0" w:line="288" w:lineRule="auto"/>
        <w:ind w:left="-284" w:firstLine="709"/>
        <w:textAlignment w:val="auto"/>
        <w:rPr>
          <w:szCs w:val="24"/>
        </w:rPr>
      </w:pPr>
      <w:r>
        <w:rPr>
          <w:szCs w:val="24"/>
        </w:rPr>
        <w:t>Преобладающее направление ветра: юго-восточное, а в безморозный период северо-западное.</w:t>
      </w:r>
    </w:p>
    <w:p w:rsidR="00052923" w:rsidRDefault="00052923" w:rsidP="003E2D00">
      <w:pPr>
        <w:pStyle w:val="1"/>
        <w:numPr>
          <w:ilvl w:val="0"/>
          <w:numId w:val="7"/>
        </w:numPr>
        <w:tabs>
          <w:tab w:val="num" w:pos="1418"/>
        </w:tabs>
        <w:spacing w:before="0" w:after="0" w:line="288" w:lineRule="auto"/>
        <w:ind w:left="-284" w:firstLine="709"/>
        <w:textAlignment w:val="auto"/>
        <w:rPr>
          <w:szCs w:val="24"/>
        </w:rPr>
      </w:pPr>
      <w:r>
        <w:rPr>
          <w:szCs w:val="24"/>
        </w:rPr>
        <w:t>Ветровой режим в степных условиях характеризуется повышенной активностью в течение всего года. Среднегодовая скорость ветра достигает 5,8 м/с. Наибольшие скорости ветра наблюдаются в зимне-весенний период (максимум  - в феврале); наименьшие скорости ветра характерны для конца лета – начала осени. Зимой попеременно преобладают ветры широтных направлений (западные и восточные), обусловленные стационированием азиатского  антициклона и отдельными вторжениями южных циклонов.</w:t>
      </w:r>
    </w:p>
    <w:p w:rsidR="00052923" w:rsidRDefault="00052923" w:rsidP="003E2D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Существенной особенностью режима увлажнения территории является резкое колебание суммы осадков по отдельным годам. Устойчивый снежный покров формируется в конце первой декады декабря. Снег удерживается в течение 80-110 дней. Высота снежного покрова  в конце зимы составляет 30 см в защищенных о ветра местах.</w:t>
      </w:r>
    </w:p>
    <w:p w:rsidR="00052923" w:rsidRDefault="00052923" w:rsidP="003E2D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Предприятия и организации.</w:t>
      </w:r>
      <w:r>
        <w:rPr>
          <w:rFonts w:ascii="Times New Roman" w:hAnsi="Times New Roman"/>
          <w:sz w:val="24"/>
          <w:szCs w:val="24"/>
        </w:rPr>
        <w:t xml:space="preserve"> На территории поселения  зарегистрирована  1 организация :ООО «Динамо» </w:t>
      </w:r>
    </w:p>
    <w:p w:rsidR="00052923" w:rsidRDefault="00052923" w:rsidP="003E2D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Население.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Динамовском сельском поселении сложилась следующая демографическая ситуация: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территории поселения проживает: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трудоспособное население - 404  чел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несовершеннолетних детей. -166   чел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пенсионеров - 286 чел.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инвалидов 1-2-3 группы - 55 чел.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детей инвалидов 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многодетных семей – 11  семей</w:t>
      </w:r>
    </w:p>
    <w:p w:rsidR="00052923" w:rsidRDefault="00052923" w:rsidP="003E2D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тружеников тыла </w:t>
      </w:r>
    </w:p>
    <w:p w:rsidR="00052923" w:rsidRDefault="00052923" w:rsidP="003E2D0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52923" w:rsidRDefault="00052923" w:rsidP="003E2D0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- 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052923" w:rsidRDefault="00052923" w:rsidP="003E2D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052923" w:rsidRDefault="00052923" w:rsidP="003E2D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демографическая ситуация в Динамовском сельском поселении повторяет районные и краевые проблемы и обстановку большинства регионов.</w:t>
      </w:r>
    </w:p>
    <w:p w:rsidR="00052923" w:rsidRDefault="00052923" w:rsidP="003E2D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052923" w:rsidRDefault="00052923" w:rsidP="003E2D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052923" w:rsidRDefault="00052923" w:rsidP="003E2D00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2923" w:rsidRDefault="00052923" w:rsidP="003E2D00">
      <w:pPr>
        <w:pStyle w:val="msonormalcxspmiddle"/>
        <w:tabs>
          <w:tab w:val="left" w:pos="284"/>
          <w:tab w:val="left" w:pos="567"/>
        </w:tabs>
        <w:spacing w:after="120" w:afterAutospacing="0" w:line="360" w:lineRule="auto"/>
        <w:contextualSpacing/>
        <w:jc w:val="both"/>
        <w:outlineLvl w:val="0"/>
        <w:rPr>
          <w:b/>
          <w:bCs/>
          <w:i/>
          <w:kern w:val="32"/>
          <w:u w:val="single"/>
        </w:rPr>
      </w:pPr>
      <w:r>
        <w:rPr>
          <w:b/>
          <w:bCs/>
          <w:i/>
          <w:kern w:val="32"/>
          <w:u w:val="single"/>
        </w:rPr>
        <w:t>Социальная сфера</w:t>
      </w:r>
    </w:p>
    <w:p w:rsidR="00052923" w:rsidRDefault="00052923" w:rsidP="003E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052923" w:rsidRDefault="00052923" w:rsidP="003E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уровень развития сферы социально-культурного обслуживания в Динамовском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052923" w:rsidRDefault="00052923" w:rsidP="003E2D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нормативной частоты посещения населением, объекты культурно-бытового обслуживания подразделяются на:</w:t>
      </w:r>
    </w:p>
    <w:p w:rsidR="00052923" w:rsidRDefault="00052923" w:rsidP="003E2D00">
      <w:pPr>
        <w:pStyle w:val="msonormalcxspmiddle"/>
        <w:widowControl w:val="0"/>
        <w:numPr>
          <w:ilvl w:val="0"/>
          <w:numId w:val="8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объекты повседневного пользования – детские сады, школы, магазины повседневного спроса;</w:t>
      </w:r>
    </w:p>
    <w:p w:rsidR="00052923" w:rsidRDefault="00052923" w:rsidP="003E2D00">
      <w:pPr>
        <w:pStyle w:val="msonormalcxspmiddle"/>
        <w:widowControl w:val="0"/>
        <w:numPr>
          <w:ilvl w:val="0"/>
          <w:numId w:val="8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>объекты периодического пользования – культурные центры, клубные помещения, учреждения торговли и быта, общественного питания, спортивные школы, спортивные залы;</w:t>
      </w:r>
    </w:p>
    <w:p w:rsidR="00052923" w:rsidRDefault="00052923" w:rsidP="003E2D00">
      <w:pPr>
        <w:pStyle w:val="msonormalcxsplast"/>
        <w:widowControl w:val="0"/>
        <w:numPr>
          <w:ilvl w:val="0"/>
          <w:numId w:val="8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>
        <w:t xml:space="preserve">объекты эпизодического пользования – административные учреждения районного значения. </w:t>
      </w:r>
      <w:r>
        <w:rPr>
          <w:color w:val="000000"/>
        </w:rPr>
        <w:t xml:space="preserve">Для устойчивого развития </w:t>
      </w:r>
      <w:r>
        <w:rPr>
          <w:bCs/>
        </w:rPr>
        <w:t xml:space="preserve">Динамовского сельского поселения </w:t>
      </w:r>
      <w:r>
        <w:rPr>
          <w:color w:val="000000"/>
        </w:rPr>
        <w:t>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ведет к деградации человеческого потенциала и тормозит экономическое развитие.</w:t>
      </w:r>
    </w:p>
    <w:p w:rsidR="00052923" w:rsidRDefault="00052923" w:rsidP="003E2D00">
      <w:pPr>
        <w:pStyle w:val="NormalWeb"/>
        <w:spacing w:before="0" w:beforeAutospacing="0" w:after="0" w:afterAutospacing="0"/>
        <w:ind w:firstLine="711"/>
        <w:jc w:val="both"/>
        <w:rPr>
          <w:color w:val="000000"/>
        </w:rPr>
      </w:pPr>
      <w:r>
        <w:rPr>
          <w:color w:val="000000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Одной из основных проблем автодорожной сети Динамовского сельского поселения является то, что большая часть автомобильных дорог общего пользования местного значения не соответствует техническим нормативам.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Динамовского сельского поселения Нехаевского района Волгоградской области утвержден решением Совета депутатов Динамовского сельского поселения от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27 декабря 2013 года N 61/1</w:t>
      </w:r>
      <w:r>
        <w:rPr>
          <w:rFonts w:ascii="Times New Roman" w:hAnsi="Times New Roman"/>
          <w:sz w:val="24"/>
          <w:szCs w:val="24"/>
          <w:lang w:eastAsia="ru-RU"/>
        </w:rPr>
        <w:t>, согласно которому установлены и утверждены: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территориальная организация и планировочная структура территории поселения;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функциональное зонирование территории поселения;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границы зон планируемого размещения объектов капитального строительства муниципального уровня.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генерального плана Динамовского сельского поселения юридически обоснованно осуществляются последующие этапы градостроительной деятельности на территории поселения:</w:t>
      </w:r>
    </w:p>
    <w:p w:rsidR="00052923" w:rsidRDefault="00052923" w:rsidP="003E2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решением Совета депутатов Динамовского сельского поселения от 09 декабря 2015 года N 18/4 утверждены правила благоустройства и озеленения территории  Динамовского сельского поселения</w:t>
      </w:r>
    </w:p>
    <w:p w:rsidR="00052923" w:rsidRDefault="00052923" w:rsidP="003E2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решением Совета депутатов  Динамовского сельского поселения от 24.02.2012г N29/4 утверждена программа комплексного развития коммунальной инфраструктуры  Динамовского сельского поселения</w:t>
      </w:r>
    </w:p>
    <w:p w:rsidR="00052923" w:rsidRDefault="00052923" w:rsidP="003E2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постановлением Администрации Динамовского сельского поселения от 08.04.2016г. N 22 утверждена программа комплексного развития транспортной инфраструктуры Динамовского сельского поселения на период с 2016-2020 гг.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1.2. 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Образование</w:t>
      </w:r>
      <w:r>
        <w:rPr>
          <w:rFonts w:ascii="Times New Roman" w:hAnsi="Times New Roman"/>
          <w:sz w:val="24"/>
          <w:szCs w:val="24"/>
          <w:lang w:eastAsia="ru-RU"/>
        </w:rPr>
        <w:t>. Сеть образовательных учреждений Динамовского сельского поселения представлена 1 образовательным учреждением, в которых в настоящее время обучается 92 человека Обеспеченность населения образовательными учреждениями соответствует нормативам обеспеченности.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Здравоохранение. </w:t>
      </w:r>
      <w:r>
        <w:rPr>
          <w:rFonts w:ascii="Times New Roman" w:hAnsi="Times New Roman"/>
          <w:sz w:val="24"/>
          <w:szCs w:val="24"/>
        </w:rPr>
        <w:t>Услуги здравоохранения в Динамовском сельском поселении Нехаевского района Волгоградской области предоставляет: МБУЗ Нехаевская ЦРБ «Динамовская врачебная амбулатория»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Социальное обслуживание. </w:t>
      </w:r>
      <w:r>
        <w:rPr>
          <w:rFonts w:ascii="Times New Roman" w:hAnsi="Times New Roman"/>
          <w:sz w:val="24"/>
          <w:szCs w:val="24"/>
          <w:lang w:eastAsia="ru-RU"/>
        </w:rPr>
        <w:t>В настоящее время на территории поселения работает 8 работников социального обслуживания на дому граждан пожилого возраста и инвалидов.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Спортивные и игровые объекты.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>На территории сельского поселения имеется детская игровая площадка;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Учреждения культуры и искусства. </w:t>
      </w:r>
      <w:r>
        <w:rPr>
          <w:rFonts w:ascii="Times New Roman" w:hAnsi="Times New Roman"/>
          <w:sz w:val="24"/>
          <w:szCs w:val="24"/>
          <w:lang w:eastAsia="ru-RU"/>
        </w:rPr>
        <w:t xml:space="preserve">Учреждения культуры территории поселения представлены МКУК «Динамовский ЦКиБ»  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зависимости от нормативной частоты посещения населением, объекты культурно-бытового обслуживания подразделяются на: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объекты повседневного пользования -  школы, магазины повседневного спроса;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объекты периодического пользования - сельский Дом культуры, учреждения торговли, общественного питания, спортивные площадки;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объекты эпизодического пользования - административные учреждения местного значения.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жители пос.Динамо  на 100% обеспечены центральным водопроводом, на 100% обеспечены центральным газопроводом.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1.3. 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hyperlink r:id="rId11" w:history="1">
        <w:r>
          <w:rPr>
            <w:rStyle w:val="Hyperlink"/>
            <w:rFonts w:ascii="Times New Roman" w:hAnsi="Times New Roman"/>
            <w:color w:val="106BBE"/>
            <w:sz w:val="24"/>
            <w:szCs w:val="24"/>
            <w:lang w:eastAsia="ru-RU"/>
          </w:rPr>
          <w:t>СНиП 2.07.01-89</w:t>
        </w:r>
      </w:hyperlink>
      <w:r>
        <w:rPr>
          <w:rFonts w:ascii="Times New Roman" w:hAnsi="Times New Roman"/>
          <w:sz w:val="24"/>
          <w:szCs w:val="24"/>
          <w:lang w:eastAsia="ru-RU"/>
        </w:rPr>
        <w:t>* "Градостроительство. Планировка и застройка городских и сельских поселений" составляет 12-35 чел/га.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предельных параметров градостроительного развития поселения определялся по результатам оценки вариантов развития на 2030 год. Все варианты базировались на одной социально - экономической гипотезе, соответствующей сценарию комплексного развития Стратегии, связанному с наибольшим масштабом градостроительных преобразований. Программа комплексного развития социальной инфраструктуры ориентирована на компромисс, предусматривающий сохранение застроенных территорий, при освоении новых территорий, при этом около 100% жилищного строительства на новых территориях составляют индивидуальные жилые дома. В градостроительном аспекте варианты соотношения долей нового строительства и долей индивидуального жилья в общем объеме жилищного строительства.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Проблема демографической ситуации носит общероссийский характер, степень остроты ее в Волгоградской области меньшая в сравнении с другими регионами страны. Надежды на решение демографических проблем мерами по стимулированию рождаемости недостаточны, даже не смотря на принимаемые в последнее время мероприятия (предоставление материнского капитала и пр.). В настоящее время в области принимаются активные шаги по улучшению основных показателей воспроизводства населения, оптимизации его половой и возрастной структуры, улучшения состояния здоровья, роста продолжительности жизни. Схемой территориального планирования Волгоградской области предусматривается необходимость дальнейшей разработки, и реализации комплекса мер, направленных на улучшение демографической ситуации в регионе. Необходимо проведение продуманной федеральной и региональной демографической и миграционной политики, направленной на преломление общероссийской тенденции депопуляции населения. "Стратегия социально-экономического развития Волгоградской области до 2025 года" ставит целью преодолеть разрыв между смертностью и рождаемостью на 14, 3 чел. на 1000 чел.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Стабилизация численности населения будет достигнута как за счет улучшения демографической ситуации (в рамках проводимой демографической политики на федеральном и региональном уровнях) так и за счет проведения Администрацией Волгоградской области эффективной миграционной политики.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Миграционная ситуация характеризуется притоком населения.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Основную часть мигрантов составляют люди трудоспособного возраста.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проживающего в пределах поселения зависит от времени года. В летний период численность населения поселения увеличивается за счет приезжих 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Таким образом, общий прирост населения поселения будет выше темпов его естественного роста.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расчета численности населения (демографической ёмкости) в пределах населенных пунктов: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устанавливается предельная (максимальная) численность размещаемого в населенном пункте населения, соответствующая укрупненному показателю (не более 40 га./1000 человек);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устанавливаются показатели использования территории, численности и плотности населения на территории каждого населенного пункта,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сохраняющего таким образом исторический уклад жизни и ведения хозяйства населением;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определяется потребность в территории и места размещения инвестиционных проектов и объектов инфраструктуры;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исходя из нормируемой расчетной плотности населения в кварталах с низкой ценностью селитебных территорий (в пределах 14 - 220 чел./га в зависимости от типа жилой застройки) и размера предполагаемых жилых зон населенного пункта определяется нормативная численность населения на дополнительно осваиваемых (застраиваемых) территориях населенного пункта.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Полученная численность населения является минимально возможной исходя из существующего 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домов, дачных некоммерческих партнерств) - как обязательное условие сохранения облика существующих населенных пунктов.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Численность населения (демографическая емкость) поселения в условиях отсутствия инвестиционных и инфраструктурных проектов в установленных таким образом границах населенного пункта может быть запланирована в размере 700 человек. Для обеспечения прогнозируемой динамики роста численности населения поселения, такого резерва территории более чем достаточно. Однако при благоприятном социально-экономическом сценарии развития поселения достижение этих показателей численности населения вполне возможно и ранее, и значительно позднее расчетного срока действия генерального плана.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Дополнительные территории в установленных границах населенных пунктов планируются к застройке индивидуальными жилыми домами со средними размерами земельных участков до 25 соток. Получаем дополнительное количество индивидуальных жилых домов - 50 (с размером семьи 2,0 - 3,5 человека).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численностью населения устанавливаются и иные параметры развития населенных пунктов поселения на расчетный период.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Развитие жилой зоны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Общее количество жилых домовладений в Динамовском  сельском поселении составляет 445 домов.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Средняя жилищная обеспеченность Динамовского сельского поселения на 01.01.2018 составляет 18 кв. м/чел, исходя из обеспеченности муниципальным и государственным жильем. Сложившейся тип индивидуального жилого строительства ориентировочной площадью в 100 кв. м. в расчет не включается. Для нового жилищного строительства преимущественным типом застройки предлагается застройка индивидуальными жилыми домами (до 3 этажей включительно). Жилищное строительство осуществляется населением за свой счет, (включая заемные средства). Новое жилищное строительство предполагается осуществить на свободных территориях в северном,  юго-западном и западном направлениях за счет индивидуальной застройки.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укрупненных расчетов средняя площадь индивидуального малоэтажного жилого дома принималась в размере 100 кв. м общей площади. Для Волгоградской области норма для предварительного определения потребной селитебной территории с учетом принятого размера приусадебного участка составляет 0,15 га на 1 индивидуальный жилой дом.</w:t>
      </w:r>
    </w:p>
    <w:p w:rsidR="00052923" w:rsidRDefault="00052923" w:rsidP="003E2D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Площадь жилой зоны существующая – 28,7 га,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Среди аспектов инфраструктурного развития поселения, оказывающим наибольшее влияние на градообразующую базу в целом выделяются: обеспеченность основными ресурсами градостроительного развития (инвестиции, территория, трудовые и инженерно - энергетические ресурсы), перспективы поставок сырья, ситуация с доступностью рынков сбыта. В будущем источники территориального развития поселка обусловлены: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ростом производства сельскохозяйственной продукции, ведущим к увеличению соответствующих экологически чистых перерабатывающих производственных объектов;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left="559" w:firstLine="1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возрастанием жилищного строительства в поселении,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размещение придорожных сервисных объектов в непосредственном приближении к региональным автомобильным дорогам и центрам населенных пунктов;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системой общественных центров поселения - местных общественно-деловых центров путем выделения нескольких фрагментов территории под размещение торговых, деловых, других коммерческих учреждений вдоль основных планировочных осей и на пересечениях улиц;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сохранением жилого фонда (охраняя конституционные права граждан), новым жилищным строительством на свободных территориях в основном за счет индивидуальной жилой застройки;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сохранением территории действующих кладбищ, закреплением их в новых границах;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необходимостью сформировать непрерывную систему озелененных территорий в определенном территориально-градостроительном виде, представляющая собой совокупность ландшафтных объектов, территорий и зон отдыха.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Жилищный фонд, вероятно, будет расти незначительными темпами.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Средняя обеспеченность на 1 жителя по поселению 13,33 м2. Стратегией социального и экономического развития Волгоградской области намечено довести этот показатель до 26-27 м2. в 2025 году. К расчетному сроку (2030 год) этот показатель должен составить 30 м2.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 Жилая застройка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Жилищное строительство является приоритетным направлением социально-экономической стратегии развития области. Жилая застройка будет изменяться качественно. При обеспеченности жильем на расчетный срок 30 кв.м. в пересчете на одного жителя должно возрасти качество планировочных решений. Оно будет иным. Будут соответствовать нормативным показателям обеспеченность водой и энергоносителями. В</w:t>
      </w:r>
      <w:r>
        <w:rPr>
          <w:rFonts w:ascii="Times New Roman" w:hAnsi="Times New Roman"/>
          <w:sz w:val="24"/>
          <w:szCs w:val="24"/>
          <w:lang w:eastAsia="ru-RU"/>
        </w:rPr>
        <w:br/>
        <w:t>результате мировых тенденций и изменений в качественном составе в жилищном фонде будут жить достаточно мобильные семьи с относительно высокой долей членов в трудоспособном возрасте и значительным числом близлежащих центров обслуживания населения и мест приложения труда, расположенных на этой и сопредельных территориях.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Прирост жилищного фонда поселения должен произойти за счет большей части вновь осваиваемых территорий. Он будет состоять в основном из одноквартирного жилья (индивидуальных домов).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 В целях увеличения темпов жилищного строительства государством предлагается активное привлечение средств областного и федерального бюджетов, активное участие в реализации федеральной и региональной программ "Жилье", обеспечение жильем отдельных категорий граждан (ветеранов войн и т.п.), внедрение ипотечного кредитования.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1.4 Оценка нормативно-правовой базы, необходимой для функционирования и развития социальной инфраструктуры поселения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комплексного развития социальной инфраструктуры Динамовского сельского поселения Нехаевского района разработана на основании и с учётом следующих правовых актов: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left="698" w:hanging="27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hyperlink r:id="rId12" w:history="1">
        <w:r>
          <w:rPr>
            <w:rStyle w:val="Hyperlink"/>
            <w:rFonts w:ascii="Times New Roman" w:hAnsi="Times New Roman"/>
            <w:color w:val="106BBE"/>
            <w:sz w:val="24"/>
            <w:szCs w:val="24"/>
            <w:lang w:eastAsia="ru-RU"/>
          </w:rPr>
          <w:t>Градостроительный кодекс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29 декабря 2004 года N 190-ФЗ.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</w:t>
      </w:r>
      <w:hyperlink r:id="rId13" w:history="1">
        <w:r>
          <w:rPr>
            <w:rStyle w:val="Hyperlink"/>
            <w:rFonts w:ascii="Times New Roman" w:hAnsi="Times New Roman"/>
            <w:color w:val="106BBE"/>
            <w:sz w:val="24"/>
            <w:szCs w:val="24"/>
            <w:lang w:eastAsia="ru-RU"/>
          </w:rPr>
          <w:t>Постановление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1 октября 2015 года N 1050 "Об утверждении требований к программам комплексного развития социальной инфраструктуры поселений, городских округов".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Закон Волгоградской области от 24 ноября 2008 г. N 1786-ОД "</w:t>
      </w:r>
      <w:hyperlink r:id="rId14" w:history="1">
        <w:r>
          <w:rPr>
            <w:rStyle w:val="Hyperlink"/>
            <w:rFonts w:ascii="Times New Roman" w:hAnsi="Times New Roman"/>
            <w:color w:val="106BBE"/>
            <w:sz w:val="24"/>
            <w:szCs w:val="24"/>
            <w:lang w:eastAsia="ru-RU"/>
          </w:rPr>
          <w:t>Градостроительный кодекс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Волгоградской области"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</w:t>
      </w:r>
      <w:hyperlink r:id="rId15" w:history="1">
        <w:r>
          <w:rPr>
            <w:rStyle w:val="Hyperlink"/>
            <w:rFonts w:ascii="Times New Roman" w:hAnsi="Times New Roman"/>
            <w:color w:val="106BBE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Волгоградской области от 21 ноября 2008 г. N 1778-ОД "О Стратегии социально-экономического развития Волгоградской области до 2025 года"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Генеральный план Динамовского сельского поселения Нехаевского муниципального района утвержденный решением Совета депутатов Динамовского сельского поселения от 27 декабря 2013 года N 61/1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мероприятий настоящей программы позволит обеспечить развитие социальной инфраструктуры Динамовского сельского поселения, повысить уровень жизни населения, сократить миграционный отток квалифицированных трудовых ресурсах.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Программный метод, а именно разработка программы комплексного развития социальной инфраструктуры Динамовского сельского поселения на 2018-2030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обеспечение развития социальной инфраструктуры Динамовского сельского поселения для закрепления населения, повышения уровня его жизни.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развитие системы образования и культуры за счет строительства, реконструкции и ремонта данных учреждений;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развитие социальной инфраструктуры Динамовского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Муниципальная </w:t>
      </w:r>
      <w:r>
        <w:rPr>
          <w:rFonts w:ascii="Times New Roman" w:hAnsi="Times New Roman"/>
          <w:sz w:val="24"/>
          <w:szCs w:val="24"/>
          <w:lang w:eastAsia="ru-RU"/>
        </w:rPr>
        <w:t>Программа реализуется в период 2018-2030 годы в 2 этапа.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достижения цели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Динамовского сельского поселения: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Ямочный ремонт и ремонт автомобильных дорог местного значения;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Строительство и реконструкция объектов водоснабжения;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3. Обеспечение развития и укрепления материально- тезнической базы Муниципального казенного учреждения культуры «Динамовский» центр культуры и благоустройства» 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Индикаторами, характеризующими успешность реализации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Финансирование входящих в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Муниципальную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Программу мероприятий осуществляется за счет средств бюджета Волгоградской области, бюджета Нехаевского муниципального района, бюджета Динамовского сельского поселения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Прогнозный общий объем финансирования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 на период 2018-2030 годов составляет 3 млн.5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94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 руб., в том числе по годам: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 год – 3 млн . рублей;</w:t>
      </w:r>
    </w:p>
    <w:tbl>
      <w:tblPr>
        <w:tblpPr w:leftFromText="180" w:rightFromText="180" w:vertAnchor="text" w:horzAnchor="page" w:tblpX="1054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"/>
        <w:gridCol w:w="2159"/>
        <w:gridCol w:w="958"/>
        <w:gridCol w:w="1593"/>
        <w:gridCol w:w="1309"/>
        <w:gridCol w:w="1020"/>
        <w:gridCol w:w="1256"/>
        <w:gridCol w:w="1783"/>
      </w:tblGrid>
      <w:tr w:rsidR="00052923" w:rsidTr="003E2D00"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Сумматыс. Руб.</w:t>
            </w:r>
          </w:p>
        </w:tc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052923" w:rsidTr="003E2D00"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23" w:rsidRDefault="0005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23" w:rsidRDefault="0005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23" w:rsidRDefault="0005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052923" w:rsidTr="003E2D00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спортивных площадок и детской площадки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923" w:rsidTr="003E2D00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парковой зоны.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923" w:rsidTr="003E2D00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Ямочный ремонт  автомобильных дорог местного значения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923" w:rsidTr="003E2D00">
        <w:trPr>
          <w:trHeight w:val="102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основным мероприятиям</w:t>
            </w:r>
          </w:p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923" w:rsidTr="003E2D00">
        <w:trPr>
          <w:trHeight w:val="91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муниципальных домов культуры, расположенных в населенных пунктах с числом жителей  до 50 тысяч человек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923" w:rsidRDefault="0005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2019 -2030 годы – 5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94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муниципальных нужд.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Основные мероприятия программы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программных мероприятий в соответствии с намеченными целями и задачами обеспечит достижение численности населения Динамовского сельского поселения Нехаевского района к 2030 году - 1000 человек.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программных мероприятий позволит достичь следующих уровней обеспеченности объектами местного значения населения Динамовского сельского поселения: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Обеспечение развития и укрепления материально- технической базы Муниципального казенного учреждения культуры «Динамовский» центр культуры и благоустройства»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к 2030 году уровень обеспеченности населения централизованным водоснабжением и газоснабжением составит 100%, в настоящее время они составляют 90% от общей численности населения.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параметры автомобильных дорог в зависимости от категории и основного назначения дорог и улиц Динамовского сельского поселения при реализации мероприятий Программы будут соответствовать нормам.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инфраструктуры.</w:t>
      </w:r>
    </w:p>
    <w:p w:rsidR="00052923" w:rsidRDefault="00052923" w:rsidP="003E2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3E2D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923" w:rsidRDefault="00052923" w:rsidP="0049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52923" w:rsidSect="00C82448">
      <w:footerReference w:type="default" r:id="rId16"/>
      <w:pgSz w:w="11906" w:h="16838"/>
      <w:pgMar w:top="540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923" w:rsidRDefault="00052923" w:rsidP="004E721F">
      <w:pPr>
        <w:spacing w:after="0" w:line="240" w:lineRule="auto"/>
      </w:pPr>
      <w:r>
        <w:separator/>
      </w:r>
    </w:p>
  </w:endnote>
  <w:endnote w:type="continuationSeparator" w:id="0">
    <w:p w:rsidR="00052923" w:rsidRDefault="00052923" w:rsidP="004E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23" w:rsidRDefault="0005292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52923" w:rsidRDefault="000529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923" w:rsidRDefault="00052923" w:rsidP="004E721F">
      <w:pPr>
        <w:spacing w:after="0" w:line="240" w:lineRule="auto"/>
      </w:pPr>
      <w:r>
        <w:separator/>
      </w:r>
    </w:p>
  </w:footnote>
  <w:footnote w:type="continuationSeparator" w:id="0">
    <w:p w:rsidR="00052923" w:rsidRDefault="00052923" w:rsidP="004E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D04"/>
    <w:multiLevelType w:val="multilevel"/>
    <w:tmpl w:val="5106B7B6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2B8411FA"/>
    <w:multiLevelType w:val="hybridMultilevel"/>
    <w:tmpl w:val="7B6AFC0C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FC06F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663576"/>
    <w:multiLevelType w:val="hybridMultilevel"/>
    <w:tmpl w:val="84B8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EE782D"/>
    <w:multiLevelType w:val="hybridMultilevel"/>
    <w:tmpl w:val="6A441CFC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F1A"/>
    <w:rsid w:val="00013C17"/>
    <w:rsid w:val="00052923"/>
    <w:rsid w:val="00093D0F"/>
    <w:rsid w:val="000B2312"/>
    <w:rsid w:val="000D0F1A"/>
    <w:rsid w:val="00125C3A"/>
    <w:rsid w:val="00133E93"/>
    <w:rsid w:val="001A6512"/>
    <w:rsid w:val="001D1D35"/>
    <w:rsid w:val="002318C0"/>
    <w:rsid w:val="00263A4A"/>
    <w:rsid w:val="00270463"/>
    <w:rsid w:val="00271018"/>
    <w:rsid w:val="002905AE"/>
    <w:rsid w:val="002A5FEF"/>
    <w:rsid w:val="002C5F9B"/>
    <w:rsid w:val="002D30DF"/>
    <w:rsid w:val="002E7037"/>
    <w:rsid w:val="002E7960"/>
    <w:rsid w:val="00311513"/>
    <w:rsid w:val="003416D4"/>
    <w:rsid w:val="00392DAD"/>
    <w:rsid w:val="003A630D"/>
    <w:rsid w:val="003D5EC5"/>
    <w:rsid w:val="003E2D00"/>
    <w:rsid w:val="00412450"/>
    <w:rsid w:val="00491643"/>
    <w:rsid w:val="004D27A8"/>
    <w:rsid w:val="004E1D65"/>
    <w:rsid w:val="004E5F5D"/>
    <w:rsid w:val="004E721F"/>
    <w:rsid w:val="005128DA"/>
    <w:rsid w:val="00561585"/>
    <w:rsid w:val="005638F5"/>
    <w:rsid w:val="0056452C"/>
    <w:rsid w:val="005657C2"/>
    <w:rsid w:val="00586586"/>
    <w:rsid w:val="00587528"/>
    <w:rsid w:val="005B7FDF"/>
    <w:rsid w:val="005C074F"/>
    <w:rsid w:val="005C0C15"/>
    <w:rsid w:val="00603623"/>
    <w:rsid w:val="006174CA"/>
    <w:rsid w:val="00645FE5"/>
    <w:rsid w:val="006743EC"/>
    <w:rsid w:val="00684F4B"/>
    <w:rsid w:val="00695C76"/>
    <w:rsid w:val="007721FA"/>
    <w:rsid w:val="007940AD"/>
    <w:rsid w:val="007B3AAA"/>
    <w:rsid w:val="008009BD"/>
    <w:rsid w:val="00817B2C"/>
    <w:rsid w:val="0086697F"/>
    <w:rsid w:val="008C4CE7"/>
    <w:rsid w:val="00904209"/>
    <w:rsid w:val="009151BD"/>
    <w:rsid w:val="00947822"/>
    <w:rsid w:val="009554F5"/>
    <w:rsid w:val="00957AD0"/>
    <w:rsid w:val="0099740C"/>
    <w:rsid w:val="009B6A57"/>
    <w:rsid w:val="009D4670"/>
    <w:rsid w:val="009E4AAF"/>
    <w:rsid w:val="009F1A0A"/>
    <w:rsid w:val="00A41A24"/>
    <w:rsid w:val="00AB7D83"/>
    <w:rsid w:val="00AD5D46"/>
    <w:rsid w:val="00B01CAA"/>
    <w:rsid w:val="00B41CB4"/>
    <w:rsid w:val="00B470DC"/>
    <w:rsid w:val="00BD716D"/>
    <w:rsid w:val="00BE1565"/>
    <w:rsid w:val="00BF3FCC"/>
    <w:rsid w:val="00BF5121"/>
    <w:rsid w:val="00C121B2"/>
    <w:rsid w:val="00C164ED"/>
    <w:rsid w:val="00C82448"/>
    <w:rsid w:val="00C943C3"/>
    <w:rsid w:val="00D04EA4"/>
    <w:rsid w:val="00D4619C"/>
    <w:rsid w:val="00D57B6D"/>
    <w:rsid w:val="00D92FE4"/>
    <w:rsid w:val="00D94352"/>
    <w:rsid w:val="00DC5C80"/>
    <w:rsid w:val="00DE5791"/>
    <w:rsid w:val="00DE5944"/>
    <w:rsid w:val="00E036DD"/>
    <w:rsid w:val="00E77E1A"/>
    <w:rsid w:val="00EB1770"/>
    <w:rsid w:val="00EF7A8C"/>
    <w:rsid w:val="00F248D8"/>
    <w:rsid w:val="00F63B50"/>
    <w:rsid w:val="00F65A87"/>
    <w:rsid w:val="00F65D44"/>
    <w:rsid w:val="00F73412"/>
    <w:rsid w:val="00F7682E"/>
    <w:rsid w:val="00F9343B"/>
    <w:rsid w:val="00FF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5F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B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BF5121"/>
    <w:pPr>
      <w:ind w:left="720"/>
      <w:contextualSpacing/>
    </w:pPr>
  </w:style>
  <w:style w:type="paragraph" w:styleId="NormalWeb">
    <w:name w:val="Normal (Web)"/>
    <w:basedOn w:val="Normal"/>
    <w:uiPriority w:val="99"/>
    <w:rsid w:val="00BF5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BF5121"/>
  </w:style>
  <w:style w:type="paragraph" w:customStyle="1" w:styleId="1">
    <w:name w:val="Стиль 1"/>
    <w:basedOn w:val="Normal"/>
    <w:uiPriority w:val="99"/>
    <w:rsid w:val="00BF5121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E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2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721F"/>
    <w:rPr>
      <w:rFonts w:cs="Times New Roman"/>
    </w:rPr>
  </w:style>
  <w:style w:type="character" w:styleId="Hyperlink">
    <w:name w:val="Hyperlink"/>
    <w:basedOn w:val="DefaultParagraphFont"/>
    <w:uiPriority w:val="99"/>
    <w:rsid w:val="003E2D00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3E2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3E2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730778&amp;sub=0" TargetMode="External"/><Relationship Id="rId13" Type="http://schemas.openxmlformats.org/officeDocument/2006/relationships/hyperlink" Target="http://municipal.garant.ru/document?id=71107226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58&amp;sub=0" TargetMode="External"/><Relationship Id="rId12" Type="http://schemas.openxmlformats.org/officeDocument/2006/relationships/hyperlink" Target="http://municipal.garant.ru/document?id=12038258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2205985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20039355&amp;sub=0" TargetMode="External"/><Relationship Id="rId10" Type="http://schemas.openxmlformats.org/officeDocument/2006/relationships/hyperlink" Target="http://municipal.garant.ru/document?id=7110722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38258&amp;sub=0" TargetMode="External"/><Relationship Id="rId14" Type="http://schemas.openxmlformats.org/officeDocument/2006/relationships/hyperlink" Target="http://municipal.garant.ru/document?id=12038258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15</Pages>
  <Words>5494</Words>
  <Characters>31319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2019-03-22T10:58:00Z</cp:lastPrinted>
  <dcterms:created xsi:type="dcterms:W3CDTF">2018-10-09T12:31:00Z</dcterms:created>
  <dcterms:modified xsi:type="dcterms:W3CDTF">2019-06-05T09:52:00Z</dcterms:modified>
</cp:coreProperties>
</file>