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 w:rsidP="005D720E">
      <w:pPr>
        <w:widowControl w:val="0"/>
        <w:autoSpaceDE w:val="0"/>
        <w:autoSpaceDN w:val="0"/>
        <w:spacing w:line="240" w:lineRule="auto"/>
        <w:jc w:val="both"/>
        <w:rPr>
          <w:rFonts w:asciiTheme="minorHAnsi" w:hAnsiTheme="minorHAnsi"/>
          <w:sz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="005D720E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213197" w:rsidRPr="005D720E" w:rsidRDefault="00213197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="005D720E">
        <w:rPr>
          <w:sz w:val="28"/>
        </w:rPr>
        <w:t xml:space="preserve">                          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ДИНАМОВСКОГО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4A0303" w:rsidRDefault="00251D81">
      <w:pPr>
        <w:rPr>
          <w:rFonts w:asciiTheme="minorHAnsi" w:hAnsiTheme="minorHAnsi"/>
          <w:sz w:val="28"/>
        </w:rPr>
      </w:pPr>
      <w:r>
        <w:rPr>
          <w:sz w:val="28"/>
        </w:rPr>
        <w:t xml:space="preserve">от </w:t>
      </w:r>
      <w:r w:rsidR="004A0303">
        <w:rPr>
          <w:rFonts w:asciiTheme="minorHAnsi" w:hAnsiTheme="minorHAnsi"/>
          <w:sz w:val="28"/>
        </w:rPr>
        <w:t>14</w:t>
      </w:r>
      <w:r>
        <w:rPr>
          <w:sz w:val="28"/>
        </w:rPr>
        <w:t>.1</w:t>
      </w:r>
      <w:r w:rsidR="004A0303">
        <w:rPr>
          <w:rFonts w:asciiTheme="minorHAnsi" w:hAnsiTheme="minorHAnsi"/>
          <w:sz w:val="28"/>
        </w:rPr>
        <w:t>1</w:t>
      </w:r>
      <w:r w:rsidR="00AE17C7">
        <w:rPr>
          <w:sz w:val="28"/>
        </w:rPr>
        <w:t>.</w:t>
      </w:r>
      <w:r w:rsidR="004A0303">
        <w:rPr>
          <w:sz w:val="28"/>
        </w:rPr>
        <w:t>2025</w:t>
      </w:r>
      <w:r w:rsidR="00941893">
        <w:rPr>
          <w:sz w:val="28"/>
        </w:rPr>
        <w:t xml:space="preserve"> г        </w:t>
      </w:r>
      <w:r>
        <w:rPr>
          <w:sz w:val="28"/>
        </w:rPr>
        <w:t xml:space="preserve">                             № </w:t>
      </w:r>
      <w:r w:rsidR="004A0303">
        <w:rPr>
          <w:rFonts w:asciiTheme="minorHAnsi" w:hAnsiTheme="minorHAnsi"/>
          <w:sz w:val="28"/>
        </w:rPr>
        <w:t>64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>
        <w:rPr>
          <w:rFonts w:asciiTheme="minorHAnsi" w:hAnsiTheme="minorHAnsi"/>
          <w:sz w:val="28"/>
        </w:rPr>
        <w:t xml:space="preserve">жилищного </w:t>
      </w:r>
      <w:r w:rsidR="00132A85">
        <w:rPr>
          <w:rFonts w:asciiTheme="minorHAnsi" w:hAnsiTheme="minorHAnsi"/>
          <w:sz w:val="28"/>
        </w:rPr>
        <w:t>контроля на</w:t>
      </w:r>
      <w:r>
        <w:rPr>
          <w:sz w:val="28"/>
        </w:rPr>
        <w:t xml:space="preserve"> те</w:t>
      </w:r>
      <w:r w:rsidR="00E70622">
        <w:rPr>
          <w:sz w:val="28"/>
        </w:rPr>
        <w:t xml:space="preserve">рритории Динамовского сельского </w:t>
      </w:r>
      <w:r w:rsidR="00B949B6">
        <w:rPr>
          <w:sz w:val="28"/>
        </w:rPr>
        <w:t>поселения на</w:t>
      </w:r>
      <w:r w:rsidR="00AE17C7">
        <w:rPr>
          <w:sz w:val="28"/>
        </w:rPr>
        <w:t xml:space="preserve"> 202</w:t>
      </w:r>
      <w:r w:rsidR="004A0303">
        <w:rPr>
          <w:rFonts w:asciiTheme="minorHAnsi" w:hAnsiTheme="minorHAnsi"/>
          <w:sz w:val="28"/>
        </w:rPr>
        <w:t>5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Динамовского сельского поселения, </w:t>
      </w:r>
      <w:r>
        <w:rPr>
          <w:sz w:val="28"/>
        </w:rPr>
        <w:t xml:space="preserve"> администрация </w:t>
      </w:r>
      <w:r w:rsidR="00E70622">
        <w:rPr>
          <w:sz w:val="28"/>
        </w:rPr>
        <w:t xml:space="preserve">Динамовского сельского поселения </w:t>
      </w:r>
      <w:r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BA5FD9" w:rsidRPr="00BA5FD9">
        <w:rPr>
          <w:sz w:val="28"/>
        </w:rPr>
        <w:t xml:space="preserve"> </w:t>
      </w:r>
      <w:r w:rsidR="00311C03" w:rsidRPr="00BA5FD9">
        <w:rPr>
          <w:sz w:val="28"/>
        </w:rPr>
        <w:t>контроля на</w:t>
      </w:r>
      <w:r>
        <w:rPr>
          <w:sz w:val="28"/>
        </w:rPr>
        <w:t xml:space="preserve"> т</w:t>
      </w:r>
      <w:r w:rsidR="00E70622">
        <w:rPr>
          <w:sz w:val="28"/>
        </w:rPr>
        <w:t xml:space="preserve">ерритории Динамовского сельского поселения </w:t>
      </w:r>
      <w:r w:rsidR="004A0303">
        <w:rPr>
          <w:sz w:val="28"/>
        </w:rPr>
        <w:t>на 2025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</w:t>
      </w:r>
      <w:r w:rsidR="00AE17C7">
        <w:rPr>
          <w:sz w:val="28"/>
        </w:rPr>
        <w:t xml:space="preserve"> вступает в силу с 1 января 202</w:t>
      </w:r>
      <w:r w:rsidR="004A0303">
        <w:rPr>
          <w:rFonts w:asciiTheme="minorHAnsi" w:hAnsiTheme="minorHAnsi"/>
          <w:sz w:val="28"/>
        </w:rPr>
        <w:t>5</w:t>
      </w:r>
      <w:r>
        <w:rPr>
          <w:sz w:val="28"/>
        </w:rPr>
        <w:t xml:space="preserve"> г. </w:t>
      </w: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Default="00E70622">
      <w:pPr>
        <w:jc w:val="both"/>
        <w:rPr>
          <w:sz w:val="28"/>
        </w:rPr>
      </w:pPr>
      <w:r>
        <w:rPr>
          <w:sz w:val="28"/>
        </w:rPr>
        <w:t xml:space="preserve">Динамовского сельского поселения               </w:t>
      </w:r>
      <w:r w:rsidR="004A0303">
        <w:rPr>
          <w:sz w:val="28"/>
        </w:rPr>
        <w:t xml:space="preserve">                              Н.</w:t>
      </w:r>
      <w:r w:rsidR="004A0303">
        <w:rPr>
          <w:rFonts w:asciiTheme="minorHAnsi" w:hAnsiTheme="minorHAnsi"/>
          <w:sz w:val="28"/>
        </w:rPr>
        <w:t xml:space="preserve">Н Никифоров 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Динамовского сельского поселения</w:t>
      </w:r>
    </w:p>
    <w:p w:rsidR="000576D5" w:rsidRPr="004A0303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    </w:t>
      </w:r>
      <w:r w:rsidR="00251D81">
        <w:rPr>
          <w:sz w:val="28"/>
        </w:rPr>
        <w:t xml:space="preserve">                от </w:t>
      </w:r>
      <w:r w:rsidR="004A0303">
        <w:rPr>
          <w:rFonts w:asciiTheme="minorHAnsi" w:hAnsiTheme="minorHAnsi"/>
          <w:sz w:val="28"/>
        </w:rPr>
        <w:t>14</w:t>
      </w:r>
      <w:r w:rsidR="00251D81">
        <w:rPr>
          <w:sz w:val="28"/>
        </w:rPr>
        <w:t>.1</w:t>
      </w:r>
      <w:r w:rsidR="004A0303">
        <w:rPr>
          <w:rFonts w:asciiTheme="minorHAnsi" w:hAnsiTheme="minorHAnsi"/>
          <w:sz w:val="28"/>
        </w:rPr>
        <w:t>1</w:t>
      </w:r>
      <w:r w:rsidR="00AE17C7">
        <w:rPr>
          <w:sz w:val="28"/>
        </w:rPr>
        <w:t>.</w:t>
      </w:r>
      <w:r w:rsidR="004A0303">
        <w:rPr>
          <w:sz w:val="28"/>
        </w:rPr>
        <w:t>2025</w:t>
      </w:r>
      <w:r w:rsidR="00355BFC">
        <w:rPr>
          <w:rFonts w:asciiTheme="minorHAnsi" w:hAnsiTheme="minorHAnsi"/>
          <w:sz w:val="28"/>
        </w:rPr>
        <w:t xml:space="preserve"> </w:t>
      </w:r>
      <w:r w:rsidR="00251D81">
        <w:rPr>
          <w:sz w:val="28"/>
        </w:rPr>
        <w:t xml:space="preserve">№ </w:t>
      </w:r>
      <w:r w:rsidR="004A0303">
        <w:rPr>
          <w:rFonts w:asciiTheme="minorHAnsi" w:hAnsiTheme="minorHAnsi"/>
          <w:sz w:val="28"/>
        </w:rPr>
        <w:t>64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>твлении муниципального</w:t>
      </w:r>
      <w:r w:rsidR="00BA5FD9">
        <w:rPr>
          <w:rFonts w:asciiTheme="minorHAnsi" w:hAnsiTheme="minorHAnsi"/>
          <w:b/>
          <w:sz w:val="28"/>
        </w:rPr>
        <w:t xml:space="preserve"> жилищного </w:t>
      </w:r>
      <w:r w:rsidR="00311C03">
        <w:rPr>
          <w:rFonts w:asciiTheme="minorHAnsi" w:hAnsiTheme="minorHAnsi"/>
          <w:b/>
          <w:sz w:val="28"/>
        </w:rPr>
        <w:t xml:space="preserve">контроля </w:t>
      </w:r>
      <w:r w:rsidR="00311C03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Динамовского сельского поселения </w:t>
      </w:r>
      <w:r w:rsidR="00AE17C7">
        <w:rPr>
          <w:b/>
          <w:sz w:val="28"/>
        </w:rPr>
        <w:t>на 202</w:t>
      </w:r>
      <w:r w:rsidR="004A0303">
        <w:rPr>
          <w:rFonts w:asciiTheme="minorHAnsi" w:hAnsiTheme="minorHAnsi"/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Динамовского сельского поселения </w:t>
      </w:r>
      <w:r w:rsidR="00AE17C7">
        <w:rPr>
          <w:sz w:val="28"/>
        </w:rPr>
        <w:t xml:space="preserve">на </w:t>
      </w:r>
      <w:r w:rsidR="004A0303">
        <w:rPr>
          <w:sz w:val="28"/>
        </w:rPr>
        <w:t>2025</w:t>
      </w:r>
      <w:r>
        <w:rPr>
          <w:sz w:val="28"/>
        </w:rPr>
        <w:t xml:space="preserve"> год (далее - Программа профилактики) разработана д</w:t>
      </w:r>
      <w:r w:rsidR="00AE17C7">
        <w:rPr>
          <w:sz w:val="28"/>
        </w:rPr>
        <w:t xml:space="preserve">ля организации проведения в </w:t>
      </w:r>
      <w:r w:rsidR="004A0303">
        <w:rPr>
          <w:sz w:val="28"/>
        </w:rPr>
        <w:t>2025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Динамовского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1.2. Программа профилактики реализуется в </w:t>
      </w:r>
      <w:r w:rsidR="004A0303">
        <w:rPr>
          <w:sz w:val="28"/>
        </w:rPr>
        <w:t>2025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Pr="00681407" w:rsidRDefault="009073DD" w:rsidP="00681407">
      <w:pPr>
        <w:ind w:firstLine="709"/>
        <w:jc w:val="both"/>
        <w:rPr>
          <w:rFonts w:asciiTheme="minorHAnsi" w:hAnsiTheme="minorHAnsi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B64E8" w:rsidRDefault="009073DD" w:rsidP="002B3941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2B3941" w:rsidRPr="002B3941" w:rsidRDefault="004A0303" w:rsidP="002B3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Администрацией за 9 месяцев 2024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B3941" w:rsidRPr="002B3941" w:rsidRDefault="00132A85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="00681407" w:rsidRPr="002B3941">
        <w:rPr>
          <w:rFonts w:ascii="Times New Roman" w:hAnsi="Times New Roman"/>
          <w:color w:val="auto"/>
          <w:sz w:val="28"/>
          <w:szCs w:val="28"/>
        </w:rPr>
        <w:t>р</w:t>
      </w:r>
      <w:r w:rsidR="00681407">
        <w:rPr>
          <w:rFonts w:ascii="Times New Roman" w:hAnsi="Times New Roman"/>
          <w:color w:val="auto"/>
          <w:sz w:val="28"/>
          <w:szCs w:val="28"/>
        </w:rPr>
        <w:t>азмещается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2B3941" w:rsidRPr="002B3941" w:rsidRDefault="002B3941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r w:rsidR="00AE17C7" w:rsidRPr="002B3941">
        <w:rPr>
          <w:rFonts w:ascii="Times New Roman" w:hAnsi="Times New Roman"/>
          <w:color w:val="auto"/>
          <w:sz w:val="28"/>
          <w:szCs w:val="28"/>
        </w:rPr>
        <w:t>администрации соответствующих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B3941" w:rsidRPr="002B3941" w:rsidRDefault="002B3941" w:rsidP="00681407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B3941" w:rsidRPr="002B3941" w:rsidRDefault="002B3941" w:rsidP="002B3941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За 9 </w:t>
      </w:r>
      <w:r w:rsidR="00AE17C7" w:rsidRPr="002B3941">
        <w:rPr>
          <w:rFonts w:ascii="Times New Roman" w:hAnsi="Times New Roman"/>
          <w:color w:val="auto"/>
          <w:sz w:val="28"/>
          <w:szCs w:val="28"/>
        </w:rPr>
        <w:t>месяцев 202</w:t>
      </w:r>
      <w:r w:rsidR="004A0303">
        <w:rPr>
          <w:rFonts w:ascii="Times New Roman" w:hAnsi="Times New Roman"/>
          <w:color w:val="auto"/>
          <w:sz w:val="28"/>
          <w:szCs w:val="28"/>
        </w:rPr>
        <w:t>4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B3941" w:rsidRPr="002B3941" w:rsidRDefault="002B3941" w:rsidP="002B3941">
      <w:pPr>
        <w:jc w:val="center"/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снижение административной нагрузки на подконтрольные субъекты;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создание мотивации к добросовестному поведению подконтрольных субъектов;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г) снижение уровня вреда (ущерба), причиняемого охраняемым законом ценностям.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213197">
            <w:pPr>
              <w:jc w:val="center"/>
              <w:rPr>
                <w:rFonts w:asciiTheme="minorHAnsi" w:hAnsiTheme="minorHAnsi"/>
              </w:rPr>
            </w:pPr>
            <w:r>
              <w:t>главный специалист</w:t>
            </w:r>
            <w:r w:rsidR="00681407">
              <w:rPr>
                <w:rFonts w:asciiTheme="minorHAnsi" w:hAnsiTheme="minorHAnsi"/>
              </w:rPr>
              <w:t xml:space="preserve"> Григорьева Е И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</w:p>
          <w:p w:rsidR="00681407" w:rsidRPr="00681407" w:rsidRDefault="004A030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Глава администрации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 w:rsidP="004A0303">
            <w:pPr>
              <w:jc w:val="center"/>
            </w:pPr>
            <w:r>
              <w:t>Глава 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>, 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Молчанова М.В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355BFC" w:rsidP="004A0303">
            <w:pPr>
              <w:jc w:val="center"/>
              <w:rPr>
                <w:rFonts w:asciiTheme="minorHAnsi" w:hAnsiTheme="minorHAnsi"/>
              </w:rPr>
            </w:pPr>
            <w:r w:rsidRPr="00355BFC">
              <w:rPr>
                <w:rFonts w:hint="eastAsia"/>
              </w:rPr>
              <w:t>Глава</w:t>
            </w:r>
            <w:r w:rsidRPr="00355BFC">
              <w:t xml:space="preserve"> </w:t>
            </w:r>
            <w:r w:rsidRPr="00355BFC">
              <w:rPr>
                <w:rFonts w:hint="eastAsia"/>
              </w:rPr>
              <w:t>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Никифоров Н.Н</w:t>
            </w:r>
            <w:bookmarkStart w:id="0" w:name="_GoBack"/>
            <w:bookmarkEnd w:id="0"/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BA2DB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Pr="00681407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B9" w:rsidRDefault="00275AB9">
      <w:pPr>
        <w:spacing w:line="240" w:lineRule="auto"/>
      </w:pPr>
      <w:r>
        <w:separator/>
      </w:r>
    </w:p>
  </w:endnote>
  <w:endnote w:type="continuationSeparator" w:id="0">
    <w:p w:rsidR="00275AB9" w:rsidRDefault="00275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B9" w:rsidRDefault="00275AB9">
      <w:pPr>
        <w:spacing w:line="240" w:lineRule="auto"/>
      </w:pPr>
      <w:r>
        <w:separator/>
      </w:r>
    </w:p>
  </w:footnote>
  <w:footnote w:type="continuationSeparator" w:id="0">
    <w:p w:rsidR="00275AB9" w:rsidRDefault="00275A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132A85"/>
    <w:rsid w:val="00213197"/>
    <w:rsid w:val="00251D81"/>
    <w:rsid w:val="00275AB9"/>
    <w:rsid w:val="002B11BE"/>
    <w:rsid w:val="002B1B86"/>
    <w:rsid w:val="002B3941"/>
    <w:rsid w:val="002B64E8"/>
    <w:rsid w:val="00311C03"/>
    <w:rsid w:val="00355BFC"/>
    <w:rsid w:val="004512FB"/>
    <w:rsid w:val="004A0303"/>
    <w:rsid w:val="00517C30"/>
    <w:rsid w:val="005D720E"/>
    <w:rsid w:val="00681407"/>
    <w:rsid w:val="006E4D2D"/>
    <w:rsid w:val="00776BC7"/>
    <w:rsid w:val="0089680E"/>
    <w:rsid w:val="009073DD"/>
    <w:rsid w:val="00921B97"/>
    <w:rsid w:val="00941893"/>
    <w:rsid w:val="009B64E0"/>
    <w:rsid w:val="00AE17C7"/>
    <w:rsid w:val="00B949B6"/>
    <w:rsid w:val="00B9547A"/>
    <w:rsid w:val="00BA2DB3"/>
    <w:rsid w:val="00BA5FD9"/>
    <w:rsid w:val="00C200E5"/>
    <w:rsid w:val="00C37662"/>
    <w:rsid w:val="00D226DB"/>
    <w:rsid w:val="00E13A2A"/>
    <w:rsid w:val="00E2733B"/>
    <w:rsid w:val="00E70622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2021-09-27T13:46:00Z</dcterms:created>
  <dcterms:modified xsi:type="dcterms:W3CDTF">2024-11-18T11:27:00Z</dcterms:modified>
</cp:coreProperties>
</file>