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0E7BBF">
        <w:rPr>
          <w:rFonts w:ascii="Times New Roman" w:hAnsi="Times New Roman" w:cs="Times New Roman"/>
          <w:sz w:val="28"/>
          <w:szCs w:val="28"/>
        </w:rPr>
        <w:t>ложение 1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A67B98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 </w:t>
      </w:r>
      <w:r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№28/2 от 29.10.2025</w:t>
      </w:r>
    </w:p>
    <w:p w:rsidR="00A67B98" w:rsidRPr="000E7BBF" w:rsidRDefault="00A67B98" w:rsidP="00A67B98">
      <w:pPr>
        <w:pStyle w:val="a3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A67B98" w:rsidRPr="000E7BBF" w:rsidRDefault="00A67B98" w:rsidP="00A67B98">
      <w:pPr>
        <w:pStyle w:val="ConsPlusNormal"/>
        <w:jc w:val="right"/>
        <w:rPr>
          <w:rFonts w:cs="Arial"/>
        </w:rPr>
      </w:pPr>
    </w:p>
    <w:p w:rsidR="00A67B98" w:rsidRPr="000E7BBF" w:rsidRDefault="00A67B98" w:rsidP="00A67B98">
      <w:pPr>
        <w:pStyle w:val="ConsPlusNormal"/>
        <w:jc w:val="right"/>
        <w:rPr>
          <w:rFonts w:cs="Arial"/>
          <w:shd w:val="clear" w:color="auto" w:fill="F1C100"/>
        </w:rPr>
      </w:pPr>
    </w:p>
    <w:p w:rsidR="00A67B98" w:rsidRPr="00DF0967" w:rsidRDefault="00A67B98" w:rsidP="00A67B98">
      <w:pPr>
        <w:pStyle w:val="ConsPlusNormal"/>
        <w:ind w:firstLine="0"/>
        <w:jc w:val="center"/>
        <w:rPr>
          <w:sz w:val="28"/>
          <w:szCs w:val="28"/>
        </w:rPr>
      </w:pPr>
      <w:r w:rsidRPr="00DF0967">
        <w:rPr>
          <w:sz w:val="28"/>
          <w:szCs w:val="28"/>
        </w:rPr>
        <w:t>Перечень должностных лиц администрации Динамовского сельского поселения, уполномоченных на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Динамовского сельского поселения</w:t>
      </w:r>
    </w:p>
    <w:p w:rsidR="00A67B98" w:rsidRDefault="00A67B98" w:rsidP="00A67B98">
      <w:pPr>
        <w:pStyle w:val="ConsPlusNormal"/>
        <w:jc w:val="center"/>
        <w:rPr>
          <w:sz w:val="28"/>
        </w:rPr>
      </w:pPr>
    </w:p>
    <w:p w:rsidR="00A67B98" w:rsidRDefault="00A67B98" w:rsidP="00A67B98">
      <w:pPr>
        <w:pStyle w:val="ConsPlusNormal"/>
        <w:jc w:val="both"/>
        <w:rPr>
          <w:sz w:val="28"/>
        </w:rPr>
      </w:pPr>
    </w:p>
    <w:p w:rsidR="00A67B98" w:rsidRDefault="00A67B98" w:rsidP="00A67B98">
      <w:pPr>
        <w:pStyle w:val="ConsPlusNormal"/>
        <w:jc w:val="both"/>
        <w:rPr>
          <w:sz w:val="28"/>
        </w:rPr>
      </w:pPr>
    </w:p>
    <w:p w:rsidR="00A67B98" w:rsidRPr="00DF0967" w:rsidRDefault="00A67B98" w:rsidP="00A67B98">
      <w:pPr>
        <w:pStyle w:val="ConsPlusNormal"/>
        <w:jc w:val="both"/>
        <w:rPr>
          <w:sz w:val="28"/>
        </w:rPr>
      </w:pPr>
      <w:r w:rsidRPr="00DF0967">
        <w:rPr>
          <w:sz w:val="28"/>
        </w:rPr>
        <w:t>1.Глава администрации Динамовского сельского поселения</w:t>
      </w:r>
    </w:p>
    <w:p w:rsidR="00A67B98" w:rsidRPr="00DF0967" w:rsidRDefault="00A67B98" w:rsidP="00A67B98">
      <w:pPr>
        <w:pStyle w:val="ConsPlusNormal"/>
        <w:jc w:val="both"/>
        <w:rPr>
          <w:sz w:val="28"/>
        </w:rPr>
      </w:pPr>
      <w:r w:rsidRPr="00DF0967">
        <w:rPr>
          <w:sz w:val="28"/>
        </w:rPr>
        <w:t>2.Специалист администрации Динамовского сельского поселения</w:t>
      </w:r>
    </w:p>
    <w:p w:rsidR="00A67B98" w:rsidRDefault="00A67B98" w:rsidP="00A67B98">
      <w:pPr>
        <w:pStyle w:val="ConsPlusNormal"/>
        <w:jc w:val="both"/>
        <w:rPr>
          <w:sz w:val="28"/>
        </w:rPr>
      </w:pPr>
      <w:r w:rsidRPr="00DF0967">
        <w:rPr>
          <w:sz w:val="28"/>
        </w:rPr>
        <w:t xml:space="preserve">3.Главный бухгалтер администрации Динамовского сельского </w:t>
      </w:r>
      <w:r>
        <w:rPr>
          <w:sz w:val="28"/>
        </w:rPr>
        <w:t xml:space="preserve">  </w:t>
      </w:r>
      <w:r w:rsidRPr="00DF0967">
        <w:rPr>
          <w:sz w:val="28"/>
        </w:rPr>
        <w:t>поселения</w:t>
      </w:r>
    </w:p>
    <w:p w:rsidR="00A67B98" w:rsidRDefault="00A67B98" w:rsidP="00A67B98">
      <w:pPr>
        <w:pStyle w:val="ConsPlusNormal"/>
        <w:jc w:val="both"/>
        <w:rPr>
          <w:sz w:val="28"/>
        </w:rPr>
      </w:pPr>
    </w:p>
    <w:p w:rsidR="00A67B98" w:rsidRPr="000E7BBF" w:rsidRDefault="00A67B98" w:rsidP="00A67B98">
      <w:pPr>
        <w:pStyle w:val="ConsPlusNormal"/>
        <w:jc w:val="both"/>
        <w:rPr>
          <w:sz w:val="28"/>
          <w:szCs w:val="28"/>
        </w:rPr>
      </w:pPr>
    </w:p>
    <w:p w:rsidR="00A67B98" w:rsidRPr="000E7BBF" w:rsidRDefault="00A67B98" w:rsidP="00A67B98">
      <w:pPr>
        <w:pStyle w:val="ConsPlusNormal"/>
        <w:jc w:val="both"/>
        <w:rPr>
          <w:sz w:val="28"/>
          <w:szCs w:val="28"/>
        </w:rPr>
      </w:pPr>
    </w:p>
    <w:p w:rsidR="00A67B98" w:rsidRPr="000E7BBF" w:rsidRDefault="00A67B98" w:rsidP="00A67B98">
      <w:pPr>
        <w:pStyle w:val="ConsPlusNormal"/>
        <w:jc w:val="both"/>
        <w:rPr>
          <w:sz w:val="28"/>
          <w:szCs w:val="28"/>
        </w:rPr>
      </w:pPr>
    </w:p>
    <w:p w:rsidR="00A67B98" w:rsidRPr="000E7BBF" w:rsidRDefault="00A67B98" w:rsidP="00A67B98">
      <w:pPr>
        <w:pStyle w:val="ConsPlusNormal"/>
        <w:jc w:val="both"/>
        <w:rPr>
          <w:sz w:val="28"/>
          <w:szCs w:val="28"/>
        </w:rPr>
      </w:pPr>
    </w:p>
    <w:p w:rsidR="00A67B98" w:rsidRPr="000E7BBF" w:rsidRDefault="00A67B98" w:rsidP="00A67B98">
      <w:pPr>
        <w:pStyle w:val="ConsPlusNormal"/>
        <w:jc w:val="both"/>
        <w:rPr>
          <w:sz w:val="28"/>
          <w:szCs w:val="28"/>
        </w:rPr>
      </w:pPr>
    </w:p>
    <w:p w:rsidR="00A67B98" w:rsidRPr="000E7BBF" w:rsidRDefault="00A67B98" w:rsidP="00A67B98">
      <w:pPr>
        <w:pStyle w:val="ConsPlusNormal"/>
        <w:ind w:left="4536" w:firstLine="0"/>
        <w:outlineLvl w:val="1"/>
        <w:rPr>
          <w:sz w:val="28"/>
          <w:szCs w:val="28"/>
        </w:rPr>
      </w:pPr>
      <w:r w:rsidRPr="000E7BBF">
        <w:rPr>
          <w:rFonts w:cs="Arial"/>
          <w:i/>
          <w:iCs/>
        </w:rPr>
        <w:br w:type="page"/>
      </w:r>
      <w:r w:rsidRPr="000E7BBF">
        <w:rPr>
          <w:sz w:val="28"/>
          <w:szCs w:val="28"/>
        </w:rPr>
        <w:lastRenderedPageBreak/>
        <w:t>Приложение 2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A67B98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 </w:t>
      </w:r>
      <w:r>
        <w:rPr>
          <w:rFonts w:ascii="Times New Roman" w:hAnsi="Times New Roman" w:cs="Times New Roman"/>
          <w:sz w:val="28"/>
          <w:szCs w:val="28"/>
        </w:rPr>
        <w:t>Динамовского сельского поселени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№28/2 от 29.10.2025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i/>
          <w:iCs/>
        </w:rPr>
      </w:pPr>
    </w:p>
    <w:p w:rsidR="00A67B98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B98" w:rsidRPr="0087425B" w:rsidRDefault="00A67B98" w:rsidP="00A67B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25B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отнесения объектов контроля к категориям риска </w:t>
      </w:r>
    </w:p>
    <w:p w:rsidR="00A67B98" w:rsidRDefault="00A67B98" w:rsidP="00A67B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25B">
        <w:rPr>
          <w:rFonts w:ascii="Times New Roman" w:hAnsi="Times New Roman" w:cs="Times New Roman"/>
          <w:b/>
          <w:bCs/>
          <w:sz w:val="28"/>
          <w:szCs w:val="28"/>
        </w:rPr>
        <w:t>в рамках осуществления муниципального жилищного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7B98" w:rsidRPr="0087425B" w:rsidRDefault="00A67B98" w:rsidP="00A67B9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425B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Динамовского сельского поселения</w:t>
      </w:r>
      <w:r w:rsidRPr="00874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7B98" w:rsidRPr="0087425B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 </w:t>
      </w:r>
    </w:p>
    <w:p w:rsidR="00A67B98" w:rsidRPr="0087425B" w:rsidRDefault="00A67B98" w:rsidP="00A67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 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</w:p>
    <w:p w:rsidR="00A67B98" w:rsidRPr="0087425B" w:rsidRDefault="00A67B98" w:rsidP="00A67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К группе тяжести «А»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</w:p>
    <w:p w:rsidR="00A67B98" w:rsidRPr="0087425B" w:rsidRDefault="00A67B98" w:rsidP="00A67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В иных случаях деятельность контролируемых лиц относится к группе тяжести «Б».</w:t>
      </w:r>
    </w:p>
    <w:p w:rsidR="00A67B98" w:rsidRPr="0087425B" w:rsidRDefault="00A67B98" w:rsidP="00A67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87425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:rsidR="00A67B98" w:rsidRPr="0087425B" w:rsidRDefault="00A67B98" w:rsidP="00A67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4" w:history="1">
        <w:r w:rsidRPr="0087425B">
          <w:rPr>
            <w:rFonts w:ascii="Times New Roman" w:hAnsi="Times New Roman" w:cs="Times New Roman"/>
            <w:sz w:val="28"/>
            <w:szCs w:val="28"/>
          </w:rPr>
          <w:t>статьями 7.21</w:t>
        </w:r>
      </w:hyperlink>
      <w:r w:rsidRPr="0087425B"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Pr="0087425B">
          <w:rPr>
            <w:rFonts w:ascii="Times New Roman" w:hAnsi="Times New Roman" w:cs="Times New Roman"/>
            <w:sz w:val="28"/>
            <w:szCs w:val="28"/>
          </w:rPr>
          <w:t>7.23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87425B">
          <w:rPr>
            <w:rFonts w:ascii="Times New Roman" w:hAnsi="Times New Roman" w:cs="Times New Roman"/>
            <w:sz w:val="28"/>
            <w:szCs w:val="28"/>
          </w:rPr>
          <w:t>частью 1 статьи 7.23.2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7425B">
          <w:rPr>
            <w:rFonts w:ascii="Times New Roman" w:hAnsi="Times New Roman" w:cs="Times New Roman"/>
            <w:sz w:val="28"/>
            <w:szCs w:val="28"/>
          </w:rPr>
          <w:t>статьями 7.23.3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87425B">
          <w:rPr>
            <w:rFonts w:ascii="Times New Roman" w:hAnsi="Times New Roman" w:cs="Times New Roman"/>
            <w:sz w:val="28"/>
            <w:szCs w:val="28"/>
          </w:rPr>
          <w:t>9.5.1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7425B">
          <w:rPr>
            <w:rFonts w:ascii="Times New Roman" w:hAnsi="Times New Roman" w:cs="Times New Roman"/>
            <w:sz w:val="28"/>
            <w:szCs w:val="28"/>
          </w:rPr>
          <w:t>статьей 9.13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0" w:history="1">
        <w:r w:rsidRPr="0087425B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7425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87425B">
          <w:rPr>
            <w:rFonts w:ascii="Times New Roman" w:hAnsi="Times New Roman" w:cs="Times New Roman"/>
            <w:sz w:val="28"/>
            <w:szCs w:val="28"/>
          </w:rPr>
          <w:t>частью 12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 (в части коллективных (общедомовых), </w:t>
      </w:r>
      <w:r w:rsidRPr="0087425B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13" w:history="1">
        <w:r w:rsidRPr="0087425B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87425B">
        <w:rPr>
          <w:rFonts w:ascii="Times New Roman" w:hAnsi="Times New Roman" w:cs="Times New Roman"/>
          <w:sz w:val="28"/>
          <w:szCs w:val="28"/>
        </w:rPr>
        <w:t>-</w:t>
      </w:r>
      <w:hyperlink r:id="rId14" w:history="1">
        <w:r w:rsidRPr="0087425B">
          <w:rPr>
            <w:rFonts w:ascii="Times New Roman" w:hAnsi="Times New Roman" w:cs="Times New Roman"/>
            <w:sz w:val="28"/>
            <w:szCs w:val="28"/>
          </w:rPr>
          <w:t>4 статьи 9.23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87425B">
          <w:rPr>
            <w:rFonts w:ascii="Times New Roman" w:hAnsi="Times New Roman" w:cs="Times New Roman"/>
            <w:sz w:val="28"/>
            <w:szCs w:val="28"/>
          </w:rPr>
          <w:t>частью 1 статьи 13.19.2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A67B98" w:rsidRPr="0087425B" w:rsidRDefault="00A67B98" w:rsidP="00A67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</w:t>
      </w:r>
      <w:hyperlink w:anchor="Par5" w:history="1">
        <w:r w:rsidRPr="0087425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87425B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p w:rsidR="00A67B98" w:rsidRPr="0087425B" w:rsidRDefault="00A67B98" w:rsidP="00A67B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A67B98" w:rsidRPr="0087425B" w:rsidRDefault="00A67B98" w:rsidP="00A67B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A67B98" w:rsidRPr="0087425B" w:rsidTr="00A12C44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Группа вероятности</w:t>
            </w:r>
          </w:p>
        </w:tc>
      </w:tr>
      <w:tr w:rsidR="00A67B98" w:rsidRPr="0087425B" w:rsidTr="00A12C44">
        <w:tc>
          <w:tcPr>
            <w:tcW w:w="3401" w:type="dxa"/>
            <w:tcBorders>
              <w:top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7B98" w:rsidRPr="0087425B" w:rsidTr="00A12C44">
        <w:tc>
          <w:tcPr>
            <w:tcW w:w="3401" w:type="dxa"/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4" w:type="dxa"/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4" w:type="dxa"/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7B98" w:rsidRPr="0087425B" w:rsidTr="00A12C44">
        <w:tc>
          <w:tcPr>
            <w:tcW w:w="3401" w:type="dxa"/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2834" w:type="dxa"/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4" w:type="dxa"/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7B98" w:rsidRPr="007363BC" w:rsidTr="00A12C44">
        <w:tc>
          <w:tcPr>
            <w:tcW w:w="3401" w:type="dxa"/>
            <w:tcBorders>
              <w:bottom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A67B98" w:rsidRPr="007363BC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67B98" w:rsidRPr="007363BC" w:rsidRDefault="00A67B98" w:rsidP="00A67B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7B98" w:rsidRPr="00D51060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B98" w:rsidRPr="00D51060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i/>
          <w:iCs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i/>
          <w:iCs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i/>
          <w:iCs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i/>
          <w:iCs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sz w:val="28"/>
          <w:szCs w:val="28"/>
        </w:rPr>
      </w:pPr>
    </w:p>
    <w:p w:rsidR="00A67B98" w:rsidRPr="00D51060" w:rsidRDefault="00A67B98" w:rsidP="00A67B98">
      <w:pPr>
        <w:pStyle w:val="ConsPlusNormal"/>
        <w:ind w:firstLine="709"/>
        <w:jc w:val="both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Default="00A67B98" w:rsidP="00A67B98">
      <w:pPr>
        <w:pStyle w:val="ConsPlusNormal"/>
        <w:ind w:left="4536" w:firstLine="0"/>
        <w:outlineLvl w:val="1"/>
        <w:rPr>
          <w:sz w:val="28"/>
          <w:szCs w:val="28"/>
        </w:rPr>
      </w:pPr>
    </w:p>
    <w:p w:rsidR="00A67B98" w:rsidRDefault="00A67B98" w:rsidP="00A67B98">
      <w:pPr>
        <w:pStyle w:val="ConsPlusNormal"/>
        <w:ind w:left="4536" w:firstLine="0"/>
        <w:outlineLvl w:val="1"/>
        <w:rPr>
          <w:sz w:val="28"/>
          <w:szCs w:val="28"/>
        </w:rPr>
      </w:pPr>
    </w:p>
    <w:p w:rsidR="00A67B98" w:rsidRDefault="00A67B98" w:rsidP="00A67B98">
      <w:pPr>
        <w:pStyle w:val="ConsPlusNormal"/>
        <w:ind w:left="4536" w:firstLine="0"/>
        <w:outlineLvl w:val="1"/>
        <w:rPr>
          <w:sz w:val="28"/>
          <w:szCs w:val="28"/>
        </w:rPr>
      </w:pPr>
    </w:p>
    <w:p w:rsidR="00A67B98" w:rsidRPr="000E7BBF" w:rsidRDefault="00A67B98" w:rsidP="00A67B98">
      <w:pPr>
        <w:pStyle w:val="ConsPlusNormal"/>
        <w:ind w:left="4536" w:firstLine="0"/>
        <w:outlineLvl w:val="1"/>
        <w:rPr>
          <w:sz w:val="28"/>
          <w:szCs w:val="28"/>
        </w:rPr>
      </w:pPr>
      <w:r w:rsidRPr="000E7BBF">
        <w:rPr>
          <w:sz w:val="28"/>
          <w:szCs w:val="28"/>
        </w:rPr>
        <w:t>Приложение 3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A67B98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 </w:t>
      </w:r>
      <w:r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№28/2 от 29.10.2025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67B98" w:rsidRPr="000E7BBF" w:rsidRDefault="00A67B98" w:rsidP="00A67B98">
      <w:pPr>
        <w:pStyle w:val="ConsPlusNormal"/>
        <w:jc w:val="center"/>
        <w:rPr>
          <w:rFonts w:cs="Arial"/>
          <w:shd w:val="clear" w:color="auto" w:fill="F1C100"/>
        </w:rPr>
      </w:pPr>
    </w:p>
    <w:p w:rsidR="00A67B98" w:rsidRPr="000E7BBF" w:rsidRDefault="00A67B98" w:rsidP="00A67B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98" w:rsidRPr="001E1FC6" w:rsidRDefault="00A67B98" w:rsidP="00A67B98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1848C9">
        <w:rPr>
          <w:rFonts w:ascii="Times New Roman" w:hAnsi="Times New Roman" w:cs="Times New Roman"/>
          <w:b/>
          <w:bCs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жилищного контроля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Динамовского сельского поселения Нехаевского муниципального района Волгоградской области</w:t>
      </w:r>
      <w:r w:rsidRPr="001848C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67B98" w:rsidRPr="00163B18" w:rsidRDefault="00A67B98" w:rsidP="00A67B98">
      <w:pPr>
        <w:pStyle w:val="a5"/>
        <w:autoSpaceDE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1E1FC6">
        <w:rPr>
          <w:rFonts w:ascii="Times New Roman" w:hAnsi="Times New Roman" w:cs="Times New Roman"/>
          <w:sz w:val="28"/>
          <w:szCs w:val="28"/>
        </w:rPr>
        <w:t xml:space="preserve">1. </w:t>
      </w:r>
      <w:r w:rsidRPr="00163B1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A67B98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C6">
        <w:rPr>
          <w:rFonts w:ascii="Times New Roman" w:hAnsi="Times New Roman" w:cs="Times New Roman"/>
          <w:sz w:val="28"/>
          <w:szCs w:val="28"/>
        </w:rPr>
        <w:t xml:space="preserve">2. </w:t>
      </w:r>
      <w:r w:rsidRPr="00163B1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 подряд</w:t>
      </w:r>
    </w:p>
    <w:p w:rsidR="00A67B98" w:rsidRPr="00613D4A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4A">
        <w:rPr>
          <w:rFonts w:ascii="Times New Roman" w:hAnsi="Times New Roman" w:cs="Times New Roman"/>
          <w:sz w:val="28"/>
          <w:szCs w:val="28"/>
        </w:rPr>
        <w:t>3.</w:t>
      </w:r>
      <w:r w:rsidRPr="00613D4A">
        <w:rPr>
          <w:rFonts w:ascii="Times New Roman" w:hAnsi="Times New Roman" w:cs="Times New Roman"/>
        </w:rPr>
        <w:t xml:space="preserve"> </w:t>
      </w:r>
      <w:r w:rsidRPr="00613D4A">
        <w:rPr>
          <w:rFonts w:ascii="Times New Roman" w:hAnsi="Times New Roman" w:cs="Times New Roman"/>
          <w:sz w:val="28"/>
          <w:szCs w:val="28"/>
        </w:rPr>
        <w:t>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периодом;</w:t>
      </w:r>
    </w:p>
    <w:p w:rsidR="00A67B98" w:rsidRPr="00613D4A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4A">
        <w:rPr>
          <w:rFonts w:ascii="Times New Roman" w:hAnsi="Times New Roman" w:cs="Times New Roman"/>
          <w:sz w:val="28"/>
          <w:szCs w:val="28"/>
        </w:rPr>
        <w:t xml:space="preserve">4.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</w:t>
      </w:r>
      <w:r w:rsidRPr="00613D4A">
        <w:rPr>
          <w:rFonts w:ascii="Times New Roman" w:hAnsi="Times New Roman" w:cs="Times New Roman"/>
          <w:sz w:val="28"/>
          <w:szCs w:val="28"/>
        </w:rPr>
        <w:lastRenderedPageBreak/>
        <w:t xml:space="preserve">дома, более чем на 50% по сравнению с предыдущим аналогичным расчетным периодом; </w:t>
      </w:r>
    </w:p>
    <w:p w:rsidR="00A67B98" w:rsidRPr="00EE76D6" w:rsidRDefault="00A67B98" w:rsidP="00A6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13D4A">
        <w:rPr>
          <w:rFonts w:ascii="Times New Roman" w:hAnsi="Times New Roman" w:cs="Times New Roman"/>
          <w:sz w:val="28"/>
          <w:szCs w:val="28"/>
        </w:rPr>
        <w:t>. Неоднократные (два и более) случаи аварийных ситуаций, произошедшие на объектах, относящихся к общему имуществу в одном и том же  многоквартирном доме, в течение трех месяцев подряд.</w:t>
      </w:r>
    </w:p>
    <w:p w:rsidR="00A67B98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  <w:sectPr w:rsidR="00A67B98" w:rsidSect="00C5251A">
          <w:pgSz w:w="11906" w:h="16838"/>
          <w:pgMar w:top="851" w:right="851" w:bottom="851" w:left="1701" w:header="709" w:footer="709" w:gutter="0"/>
          <w:pgNumType w:start="1"/>
          <w:cols w:space="720"/>
          <w:titlePg/>
          <w:docGrid w:linePitch="272"/>
        </w:sectPr>
      </w:pPr>
    </w:p>
    <w:p w:rsidR="00A67B98" w:rsidRPr="000E7BBF" w:rsidRDefault="00A67B98" w:rsidP="00A67B98">
      <w:pPr>
        <w:pStyle w:val="ConsPlusNormal"/>
        <w:ind w:left="7938" w:firstLine="0"/>
        <w:jc w:val="right"/>
        <w:outlineLvl w:val="1"/>
        <w:rPr>
          <w:sz w:val="28"/>
          <w:szCs w:val="28"/>
        </w:rPr>
      </w:pPr>
      <w:r w:rsidRPr="000E7BBF">
        <w:rPr>
          <w:sz w:val="28"/>
          <w:szCs w:val="28"/>
        </w:rPr>
        <w:lastRenderedPageBreak/>
        <w:t>Приложение 4</w:t>
      </w:r>
    </w:p>
    <w:p w:rsidR="00A67B98" w:rsidRPr="000E7BBF" w:rsidRDefault="00A67B98" w:rsidP="00A67B98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A67B98" w:rsidRDefault="00A67B98" w:rsidP="00A67B98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 </w:t>
      </w:r>
    </w:p>
    <w:p w:rsidR="00A67B98" w:rsidRDefault="00A67B98" w:rsidP="00A67B98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</w:p>
    <w:p w:rsidR="00A67B98" w:rsidRPr="000E7BBF" w:rsidRDefault="00A67B98" w:rsidP="00A67B98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№28/2 от 29.10.2025</w:t>
      </w:r>
    </w:p>
    <w:p w:rsidR="00A67B98" w:rsidRPr="000E7BBF" w:rsidRDefault="00A67B98" w:rsidP="00A67B98">
      <w:pPr>
        <w:widowControl/>
        <w:ind w:left="4536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67B98" w:rsidRPr="000E7BBF" w:rsidRDefault="00A67B98" w:rsidP="00A67B98">
      <w:pPr>
        <w:pStyle w:val="ConsPlusNormal"/>
        <w:ind w:firstLine="0"/>
        <w:outlineLvl w:val="1"/>
        <w:rPr>
          <w:rFonts w:cs="Arial"/>
          <w:sz w:val="28"/>
          <w:szCs w:val="28"/>
        </w:rPr>
      </w:pPr>
    </w:p>
    <w:p w:rsidR="00A67B98" w:rsidRPr="0087425B" w:rsidRDefault="00A67B98" w:rsidP="00A67B9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425B">
        <w:rPr>
          <w:rFonts w:ascii="Times New Roman" w:hAnsi="Times New Roman" w:cs="Times New Roman"/>
          <w:b/>
          <w:bCs/>
          <w:sz w:val="28"/>
          <w:szCs w:val="28"/>
        </w:rPr>
        <w:t>Перечень ключевых показателей результативности и эффективности муниципального жилищного контроля</w:t>
      </w:r>
    </w:p>
    <w:p w:rsidR="00A67B98" w:rsidRPr="0087425B" w:rsidRDefault="00A67B98" w:rsidP="00A67B98">
      <w:pPr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87425B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 </w:t>
      </w:r>
      <w:r>
        <w:rPr>
          <w:rFonts w:ascii="Times New Roman" w:hAnsi="Times New Roman" w:cs="Times New Roman"/>
          <w:b/>
          <w:bCs/>
          <w:sz w:val="28"/>
          <w:szCs w:val="28"/>
        </w:rPr>
        <w:t>Динамовского сельского поселения</w:t>
      </w:r>
    </w:p>
    <w:p w:rsidR="00A67B98" w:rsidRPr="0087425B" w:rsidRDefault="00A67B98" w:rsidP="00A67B9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01" w:type="dxa"/>
        <w:tblLayout w:type="fixed"/>
        <w:tblLook w:val="00A0" w:firstRow="1" w:lastRow="0" w:firstColumn="1" w:lastColumn="0" w:noHBand="0" w:noVBand="0"/>
      </w:tblPr>
      <w:tblGrid>
        <w:gridCol w:w="1412"/>
        <w:gridCol w:w="2565"/>
        <w:gridCol w:w="853"/>
        <w:gridCol w:w="2975"/>
        <w:gridCol w:w="712"/>
        <w:gridCol w:w="805"/>
        <w:gridCol w:w="188"/>
        <w:gridCol w:w="521"/>
        <w:gridCol w:w="188"/>
        <w:gridCol w:w="695"/>
        <w:gridCol w:w="14"/>
        <w:gridCol w:w="842"/>
        <w:gridCol w:w="20"/>
        <w:gridCol w:w="1397"/>
        <w:gridCol w:w="20"/>
        <w:gridCol w:w="271"/>
        <w:gridCol w:w="1702"/>
        <w:gridCol w:w="21"/>
      </w:tblGrid>
      <w:tr w:rsidR="00A67B98" w:rsidRPr="0087425B" w:rsidTr="00A12C44">
        <w:trPr>
          <w:gridAfter w:val="1"/>
          <w:wAfter w:w="21" w:type="dxa"/>
          <w:trHeight w:val="37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 xml:space="preserve">Номер показателя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Источники данных для определения значений показателя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Сведения о документах стратегического планирования , содержащих показатель (при его наличии)</w:t>
            </w:r>
          </w:p>
        </w:tc>
      </w:tr>
      <w:tr w:rsidR="00A67B98" w:rsidRPr="0087425B" w:rsidTr="00A12C44">
        <w:trPr>
          <w:gridAfter w:val="1"/>
          <w:wAfter w:w="21" w:type="dxa"/>
          <w:trHeight w:val="1185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предыдущий год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текущий год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будущий год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7B98" w:rsidRPr="0087425B" w:rsidRDefault="00A67B98" w:rsidP="00A12C44">
            <w:pPr>
              <w:jc w:val="center"/>
              <w:rPr>
                <w:sz w:val="22"/>
                <w:szCs w:val="22"/>
              </w:rPr>
            </w:pPr>
          </w:p>
        </w:tc>
      </w:tr>
      <w:tr w:rsidR="00A67B98" w:rsidRPr="0087425B" w:rsidTr="00A12C44">
        <w:trPr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98" w:rsidRPr="0087425B" w:rsidRDefault="00A67B98" w:rsidP="00A12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  <w:b/>
                <w:bCs/>
              </w:rPr>
              <w:t xml:space="preserve">                                   КЛЮЧЕВЫЕ ПОКАЗАТЕЛИ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98" w:rsidRPr="0087425B" w:rsidRDefault="00A67B98" w:rsidP="00A12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98" w:rsidRPr="0087425B" w:rsidRDefault="00A67B98" w:rsidP="00A12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7B98" w:rsidRPr="0087425B" w:rsidTr="00A12C44">
        <w:trPr>
          <w:trHeight w:val="7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2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25B">
              <w:rPr>
                <w:rFonts w:ascii="Times New Roman" w:hAnsi="Times New Roman" w:cs="Times New Roman"/>
                <w:b/>
                <w:bCs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A67B98" w:rsidRPr="0087425B" w:rsidRDefault="00A67B98" w:rsidP="00A12C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25B">
              <w:rPr>
                <w:rFonts w:ascii="Times New Roman" w:hAnsi="Times New Roman" w:cs="Times New Roman"/>
                <w:b/>
                <w:bCs/>
              </w:rPr>
              <w:t>уровень устранения риска причинения вреда (ущерба)</w:t>
            </w:r>
          </w:p>
        </w:tc>
      </w:tr>
      <w:tr w:rsidR="00A67B98" w:rsidRPr="0019053D" w:rsidTr="00A12C44">
        <w:trPr>
          <w:gridAfter w:val="1"/>
          <w:wAfter w:w="21" w:type="dxa"/>
          <w:trHeight w:val="5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98" w:rsidRPr="0087425B" w:rsidRDefault="00A67B98" w:rsidP="00A12C44">
            <w:pPr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Кспв*100% / Ксн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Кспв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К сн-  общее количество случаев нарушения обязательных требований, выявленных по результатам проверок</w:t>
            </w:r>
          </w:p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98" w:rsidRPr="0087425B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19053D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  <w:r w:rsidRPr="0087425B">
              <w:rPr>
                <w:rFonts w:ascii="Times New Roman" w:hAnsi="Times New Roman" w:cs="Times New Roman"/>
              </w:rPr>
              <w:t>Статистические данные контрольного органа;                 данные  ГАС РФ  «Правосудие».</w:t>
            </w:r>
          </w:p>
          <w:p w:rsidR="00A67B98" w:rsidRPr="0019053D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B98" w:rsidRPr="0019053D" w:rsidRDefault="00A67B98" w:rsidP="00A12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7B98" w:rsidRDefault="00A67B98" w:rsidP="00A67B98">
      <w:pPr>
        <w:sectPr w:rsidR="00A67B98" w:rsidSect="002F0DE7">
          <w:pgSz w:w="16838" w:h="11906" w:orient="landscape"/>
          <w:pgMar w:top="851" w:right="851" w:bottom="1135" w:left="851" w:header="357" w:footer="482" w:gutter="0"/>
          <w:cols w:space="720"/>
          <w:titlePg/>
          <w:docGrid w:linePitch="360"/>
        </w:sectPr>
      </w:pPr>
    </w:p>
    <w:p w:rsidR="00A67B98" w:rsidRPr="006D6C96" w:rsidRDefault="00A67B98" w:rsidP="00A67B98">
      <w:pPr>
        <w:pStyle w:val="ConsPlusNormal"/>
        <w:ind w:left="4536" w:firstLine="1"/>
        <w:outlineLvl w:val="1"/>
        <w:rPr>
          <w:sz w:val="28"/>
          <w:szCs w:val="28"/>
        </w:rPr>
      </w:pPr>
      <w:r w:rsidRPr="006D6C96">
        <w:rPr>
          <w:sz w:val="28"/>
          <w:szCs w:val="28"/>
        </w:rPr>
        <w:lastRenderedPageBreak/>
        <w:t>Приложение 5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A67B98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 </w:t>
      </w:r>
      <w:r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№28/2 от 29.10.2025</w:t>
      </w:r>
    </w:p>
    <w:p w:rsidR="00A67B98" w:rsidRPr="000E7BBF" w:rsidRDefault="00A67B98" w:rsidP="00A67B98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67B98" w:rsidRPr="006D6C96" w:rsidRDefault="00A67B98" w:rsidP="00A67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B98" w:rsidRPr="0087425B" w:rsidRDefault="00A67B98" w:rsidP="00A67B98">
      <w:pPr>
        <w:autoSpaceDE w:val="0"/>
        <w:autoSpaceDN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b/>
          <w:bCs/>
          <w:sz w:val="28"/>
          <w:szCs w:val="28"/>
        </w:rPr>
        <w:t xml:space="preserve">Индикативные показатели результативности и эффективности муниципального жилищного контроля на территории  </w:t>
      </w:r>
      <w:r>
        <w:rPr>
          <w:rFonts w:ascii="Times New Roman" w:hAnsi="Times New Roman" w:cs="Times New Roman"/>
          <w:b/>
          <w:bCs/>
          <w:sz w:val="28"/>
          <w:szCs w:val="28"/>
        </w:rPr>
        <w:t>Динамовского сельского поселения</w:t>
      </w:r>
    </w:p>
    <w:p w:rsidR="00A67B98" w:rsidRPr="0087425B" w:rsidRDefault="00A67B98" w:rsidP="00A67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Динамовского сельского поселения</w:t>
      </w:r>
      <w:r w:rsidRPr="0046016F">
        <w:rPr>
          <w:rFonts w:ascii="Times New Roman" w:hAnsi="Times New Roman" w:cs="Times New Roman"/>
          <w:sz w:val="24"/>
          <w:szCs w:val="28"/>
        </w:rPr>
        <w:t xml:space="preserve"> </w:t>
      </w:r>
      <w:r w:rsidRPr="0087425B">
        <w:rPr>
          <w:rFonts w:ascii="Times New Roman" w:hAnsi="Times New Roman" w:cs="Times New Roman"/>
          <w:sz w:val="28"/>
          <w:szCs w:val="28"/>
        </w:rPr>
        <w:t>устанавливаются следующие индикативные показатели: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количество плановых контрольных мероприятий, проведенных за отчетный период;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количество направленных в органы прокуратуры заявлений</w:t>
      </w:r>
      <w:r w:rsidRPr="0087425B">
        <w:rPr>
          <w:rFonts w:ascii="Times New Roman" w:hAnsi="Times New Roman" w:cs="Times New Roman"/>
          <w:sz w:val="28"/>
          <w:szCs w:val="28"/>
        </w:rPr>
        <w:br/>
        <w:t xml:space="preserve"> о согласовании проведения контрольных мероприятий,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количество направленных в органы прокуратуры заявлений</w:t>
      </w:r>
      <w:r w:rsidRPr="006D6C96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87425B">
        <w:rPr>
          <w:rFonts w:ascii="Times New Roman" w:hAnsi="Times New Roman" w:cs="Times New Roman"/>
          <w:sz w:val="28"/>
          <w:szCs w:val="28"/>
        </w:rPr>
        <w:t xml:space="preserve">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общее количество учтенных объектов контроля на конец отчетного периода; </w:t>
      </w:r>
    </w:p>
    <w:p w:rsidR="00A67B98" w:rsidRPr="001E1FC6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учтенных объектов контроля, отнесенных к категориям </w:t>
      </w:r>
      <w:r w:rsidRPr="0087425B">
        <w:rPr>
          <w:rFonts w:ascii="Times New Roman" w:hAnsi="Times New Roman" w:cs="Times New Roman"/>
          <w:sz w:val="28"/>
          <w:szCs w:val="28"/>
        </w:rPr>
        <w:lastRenderedPageBreak/>
        <w:t>риска, по каждой из категорий риска, на конец отчетного периода;</w:t>
      </w:r>
    </w:p>
    <w:p w:rsidR="00A67B98" w:rsidRPr="001E1FC6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FC6">
        <w:rPr>
          <w:rFonts w:ascii="Times New Roman" w:hAnsi="Times New Roman" w:cs="Times New Roman"/>
          <w:sz w:val="28"/>
          <w:szCs w:val="28"/>
        </w:rPr>
        <w:t xml:space="preserve">количество учтенных контролируемых лиц на конец отчетного периода; </w:t>
      </w:r>
    </w:p>
    <w:p w:rsidR="00A67B98" w:rsidRPr="001E1FC6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FC6">
        <w:rPr>
          <w:rFonts w:ascii="Times New Roman" w:hAnsi="Times New Roman" w:cs="Times New Roman"/>
          <w:sz w:val="28"/>
          <w:szCs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A67B98" w:rsidRPr="001E1FC6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FC6">
        <w:rPr>
          <w:rFonts w:ascii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</w:t>
      </w:r>
      <w:r w:rsidRPr="001E1FC6">
        <w:rPr>
          <w:rFonts w:ascii="Times New Roman" w:hAnsi="Times New Roman" w:cs="Times New Roman"/>
          <w:sz w:val="28"/>
          <w:szCs w:val="28"/>
        </w:rPr>
        <w:br/>
        <w:t>в досудебном порядке за отчетный период;</w:t>
      </w:r>
    </w:p>
    <w:p w:rsidR="00A67B98" w:rsidRPr="001E1FC6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FC6">
        <w:rPr>
          <w:rFonts w:ascii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A67B98" w:rsidRPr="001E1FC6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FC6">
        <w:rPr>
          <w:rFonts w:ascii="Times New Roman" w:hAnsi="Times New Roman" w:cs="Times New Roman"/>
          <w:sz w:val="28"/>
          <w:szCs w:val="28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FC6"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</w:t>
      </w:r>
      <w:r w:rsidRPr="0087425B">
        <w:rPr>
          <w:rFonts w:ascii="Times New Roman" w:hAnsi="Times New Roman" w:cs="Times New Roman"/>
          <w:sz w:val="28"/>
          <w:szCs w:val="28"/>
        </w:rPr>
        <w:t xml:space="preserve">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A67B98" w:rsidRPr="0087425B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A67B98" w:rsidRPr="006D6C96" w:rsidRDefault="00A67B98" w:rsidP="00A67B98">
      <w:pPr>
        <w:pStyle w:val="a5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25B">
        <w:rPr>
          <w:rFonts w:ascii="Times New Roman" w:hAnsi="Times New Roman" w:cs="Times New Roman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период.».</w:t>
      </w:r>
    </w:p>
    <w:p w:rsidR="00A67B98" w:rsidRPr="006D6C96" w:rsidRDefault="00A67B98" w:rsidP="00A67B98">
      <w:pPr>
        <w:pStyle w:val="a3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x-none"/>
        </w:rPr>
      </w:pPr>
    </w:p>
    <w:p w:rsidR="00026F32" w:rsidRDefault="00026F32">
      <w:bookmarkStart w:id="0" w:name="_GoBack"/>
      <w:bookmarkEnd w:id="0"/>
    </w:p>
    <w:sectPr w:rsidR="00026F32" w:rsidSect="006D6C96">
      <w:pgSz w:w="11906" w:h="16838"/>
      <w:pgMar w:top="851" w:right="851" w:bottom="851" w:left="1701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98"/>
    <w:rsid w:val="00026F32"/>
    <w:rsid w:val="00A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13FC-5BE4-46CE-AFCD-85E36622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98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67B9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A67B9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67B98"/>
    <w:pPr>
      <w:ind w:left="720"/>
    </w:pPr>
    <w:rPr>
      <w:color w:val="auto"/>
    </w:rPr>
  </w:style>
  <w:style w:type="character" w:customStyle="1" w:styleId="a4">
    <w:name w:val="Абзац списка Знак"/>
    <w:link w:val="a3"/>
    <w:uiPriority w:val="34"/>
    <w:locked/>
    <w:rsid w:val="00A67B98"/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A67B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67B98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13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2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1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5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5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10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4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9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14" Type="http://schemas.openxmlformats.org/officeDocument/2006/relationships/hyperlink" Target="consultantplus://offline/ref=EA36DA1D770AEE52B7C53CF9E3CD48FF37039AE9F059F305C6B97CE37149CBA8D3C8C8AD340755F2B4382F0C08FC33B8E8316EBFAD79p7r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2036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2025-11-07T06:26:00Z</dcterms:created>
  <dcterms:modified xsi:type="dcterms:W3CDTF">2025-11-07T06:27:00Z</dcterms:modified>
</cp:coreProperties>
</file>